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7D21A">
      <w:pPr>
        <w:pStyle w:val="4"/>
        <w:ind w:left="0" w:leftChars="0" w:firstLine="0" w:firstLineChars="0"/>
        <w:rPr>
          <w:lang w:val="en-US" w:bidi="ar-SA"/>
        </w:rPr>
      </w:pPr>
    </w:p>
    <w:p w14:paraId="722BCA2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heme="minorEastAsia" w:hAnsiTheme="minorEastAsia" w:eastAsiaTheme="minorEastAsia" w:cstheme="minorEastAsia"/>
          <w:b w:val="0"/>
          <w:bCs w:val="0"/>
          <w:color w:val="auto"/>
          <w:sz w:val="44"/>
          <w:szCs w:val="44"/>
          <w:lang w:val="en-US" w:eastAsia="zh-CN"/>
        </w:rPr>
      </w:pPr>
      <w:r>
        <w:rPr>
          <w:rFonts w:hint="eastAsia" w:asciiTheme="minorEastAsia" w:hAnsiTheme="minorEastAsia" w:eastAsiaTheme="minorEastAsia" w:cstheme="minorEastAsia"/>
          <w:b w:val="0"/>
          <w:bCs w:val="0"/>
          <w:color w:val="auto"/>
          <w:sz w:val="44"/>
          <w:szCs w:val="44"/>
          <w:lang w:val="en-US" w:eastAsia="zh-CN"/>
        </w:rPr>
        <w:t>塔河县砂金过采区历史遗留废弃矿山</w:t>
      </w:r>
    </w:p>
    <w:p w14:paraId="1D56F32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Theme="minorEastAsia" w:hAnsiTheme="minorEastAsia" w:eastAsiaTheme="minorEastAsia" w:cstheme="minorEastAsia"/>
          <w:b w:val="0"/>
          <w:bCs w:val="0"/>
          <w:color w:val="auto"/>
          <w:sz w:val="44"/>
          <w:szCs w:val="44"/>
          <w:lang w:val="en-US" w:eastAsia="zh-CN"/>
        </w:rPr>
      </w:pPr>
      <w:r>
        <w:rPr>
          <w:rFonts w:hint="eastAsia" w:asciiTheme="minorEastAsia" w:hAnsiTheme="minorEastAsia" w:eastAsiaTheme="minorEastAsia" w:cstheme="minorEastAsia"/>
          <w:b w:val="0"/>
          <w:bCs w:val="0"/>
          <w:color w:val="auto"/>
          <w:sz w:val="44"/>
          <w:szCs w:val="44"/>
          <w:lang w:val="en-US" w:eastAsia="zh-CN"/>
        </w:rPr>
        <w:t>图斑自然修复验收认定意见书</w:t>
      </w:r>
    </w:p>
    <w:p w14:paraId="7278EE76">
      <w:pPr>
        <w:jc w:val="center"/>
        <w:rPr>
          <w:rFonts w:hint="eastAsia" w:asciiTheme="minorEastAsia" w:hAnsiTheme="minorEastAsia" w:eastAsiaTheme="minorEastAsia" w:cstheme="minorEastAsia"/>
          <w:b w:val="0"/>
          <w:bCs w:val="0"/>
          <w:color w:val="auto"/>
          <w:sz w:val="32"/>
          <w:szCs w:val="32"/>
          <w:lang w:val="en-US" w:eastAsia="zh-CN"/>
        </w:rPr>
      </w:pPr>
      <w:r>
        <w:rPr>
          <w:rFonts w:hint="eastAsia" w:asciiTheme="minorEastAsia" w:hAnsiTheme="minorEastAsia" w:eastAsiaTheme="minorEastAsia" w:cstheme="minorEastAsia"/>
          <w:b w:val="0"/>
          <w:bCs w:val="0"/>
          <w:color w:val="auto"/>
          <w:sz w:val="32"/>
          <w:szCs w:val="32"/>
          <w:lang w:val="en-US" w:eastAsia="zh-CN"/>
        </w:rPr>
        <w:t>（CT2327222016000018001）</w:t>
      </w:r>
    </w:p>
    <w:p w14:paraId="0C304564">
      <w:pPr>
        <w:ind w:left="1058" w:leftChars="504"/>
        <w:rPr>
          <w:rFonts w:asciiTheme="minorEastAsia" w:hAnsiTheme="minorEastAsia" w:eastAsiaTheme="minorEastAsia" w:cstheme="minorEastAsia"/>
          <w:sz w:val="32"/>
          <w:szCs w:val="32"/>
        </w:rPr>
      </w:pPr>
    </w:p>
    <w:p w14:paraId="1DC67E19">
      <w:pPr>
        <w:ind w:left="1058" w:leftChars="504"/>
        <w:rPr>
          <w:rFonts w:asciiTheme="minorEastAsia" w:hAnsiTheme="minorEastAsia" w:eastAsiaTheme="minorEastAsia" w:cstheme="minorEastAsia"/>
          <w:sz w:val="32"/>
          <w:szCs w:val="32"/>
        </w:rPr>
      </w:pPr>
    </w:p>
    <w:p w14:paraId="7675A163">
      <w:pPr>
        <w:ind w:left="1058" w:leftChars="504"/>
        <w:rPr>
          <w:rFonts w:asciiTheme="minorEastAsia" w:hAnsiTheme="minorEastAsia" w:eastAsiaTheme="minorEastAsia" w:cstheme="minorEastAsia"/>
          <w:sz w:val="32"/>
          <w:szCs w:val="32"/>
        </w:rPr>
      </w:pPr>
    </w:p>
    <w:p w14:paraId="4C97DA14">
      <w:pPr>
        <w:ind w:left="1058" w:leftChars="504"/>
        <w:rPr>
          <w:rFonts w:asciiTheme="minorEastAsia" w:hAnsiTheme="minorEastAsia" w:eastAsiaTheme="minorEastAsia" w:cstheme="minorEastAsia"/>
          <w:sz w:val="32"/>
          <w:szCs w:val="32"/>
        </w:rPr>
      </w:pPr>
    </w:p>
    <w:p w14:paraId="142A6E23">
      <w:pPr>
        <w:rPr>
          <w:rFonts w:asciiTheme="minorEastAsia" w:hAnsiTheme="minorEastAsia" w:eastAsiaTheme="minorEastAsia" w:cstheme="minorEastAsia"/>
          <w:sz w:val="32"/>
          <w:szCs w:val="32"/>
        </w:rPr>
      </w:pPr>
    </w:p>
    <w:p w14:paraId="60DABF42">
      <w:pPr>
        <w:ind w:left="1058" w:leftChars="504"/>
        <w:rPr>
          <w:rFonts w:asciiTheme="minorEastAsia" w:hAnsiTheme="minorEastAsia" w:eastAsiaTheme="minorEastAsia" w:cstheme="minorEastAsia"/>
          <w:sz w:val="32"/>
          <w:szCs w:val="32"/>
        </w:rPr>
      </w:pPr>
    </w:p>
    <w:p w14:paraId="68CB9208">
      <w:pPr>
        <w:ind w:left="1058" w:leftChars="504"/>
        <w:rPr>
          <w:rFonts w:asciiTheme="minorEastAsia" w:hAnsiTheme="minorEastAsia" w:eastAsiaTheme="minorEastAsia" w:cstheme="minorEastAsia"/>
          <w:sz w:val="32"/>
          <w:szCs w:val="32"/>
        </w:rPr>
      </w:pPr>
    </w:p>
    <w:p w14:paraId="19230C3E">
      <w:pPr>
        <w:rPr>
          <w:rFonts w:asciiTheme="minorEastAsia" w:hAnsiTheme="minorEastAsia" w:eastAsiaTheme="minorEastAsia" w:cstheme="minorEastAsia"/>
          <w:sz w:val="32"/>
          <w:szCs w:val="32"/>
        </w:rPr>
      </w:pPr>
    </w:p>
    <w:p w14:paraId="0527C92C">
      <w:pPr>
        <w:rPr>
          <w:rFonts w:asciiTheme="minorEastAsia" w:hAnsiTheme="minorEastAsia" w:eastAsiaTheme="minorEastAsia" w:cstheme="minorEastAsia"/>
          <w:sz w:val="32"/>
          <w:szCs w:val="32"/>
        </w:rPr>
      </w:pPr>
    </w:p>
    <w:p w14:paraId="558767EF">
      <w:pPr>
        <w:rPr>
          <w:rFonts w:asciiTheme="minorEastAsia" w:hAnsiTheme="minorEastAsia" w:eastAsiaTheme="minorEastAsia" w:cstheme="minorEastAsia"/>
          <w:sz w:val="32"/>
          <w:szCs w:val="32"/>
        </w:rPr>
      </w:pPr>
    </w:p>
    <w:p w14:paraId="06C539C7">
      <w:pPr>
        <w:pStyle w:val="4"/>
      </w:pPr>
    </w:p>
    <w:p w14:paraId="3AA20700"/>
    <w:p w14:paraId="196E1AA0">
      <w:pPr>
        <w:rPr>
          <w:rFonts w:asciiTheme="minorEastAsia" w:hAnsiTheme="minorEastAsia" w:eastAsiaTheme="minorEastAsia" w:cstheme="minorEastAsia"/>
          <w:sz w:val="32"/>
          <w:szCs w:val="32"/>
        </w:rPr>
      </w:pPr>
    </w:p>
    <w:p w14:paraId="7B06FDCC">
      <w:pPr>
        <w:bidi w:val="0"/>
        <w:jc w:val="center"/>
        <w:rPr>
          <w:rFonts w:hint="eastAsia" w:asciiTheme="minorEastAsia" w:hAnsiTheme="minorEastAsia" w:eastAsiaTheme="minorEastAsia" w:cstheme="minorEastAsia"/>
          <w:b w:val="0"/>
          <w:bCs w:val="0"/>
          <w:color w:val="auto"/>
          <w:sz w:val="32"/>
          <w:szCs w:val="32"/>
        </w:rPr>
      </w:pPr>
      <w:r>
        <w:rPr>
          <w:rFonts w:hint="eastAsia" w:asciiTheme="minorEastAsia" w:hAnsiTheme="minorEastAsia" w:eastAsiaTheme="minorEastAsia" w:cstheme="minorEastAsia"/>
          <w:b w:val="0"/>
          <w:bCs w:val="0"/>
          <w:color w:val="auto"/>
          <w:sz w:val="32"/>
          <w:szCs w:val="32"/>
          <w:lang w:val="en-US" w:eastAsia="zh-CN"/>
        </w:rPr>
        <w:t>大兴安岭地区行政公署自然资源局</w:t>
      </w:r>
    </w:p>
    <w:p w14:paraId="6D39EFBC">
      <w:pPr>
        <w:jc w:val="center"/>
        <w:rPr>
          <w:rFonts w:ascii="黑体" w:hAnsi="黑体" w:eastAsia="黑体" w:cstheme="minorEastAsia"/>
          <w:sz w:val="32"/>
          <w:szCs w:val="32"/>
        </w:rPr>
      </w:pPr>
      <w:r>
        <w:rPr>
          <w:rFonts w:hint="eastAsia" w:asciiTheme="minorEastAsia" w:hAnsiTheme="minorEastAsia" w:eastAsiaTheme="minorEastAsia" w:cstheme="minorEastAsia"/>
          <w:b w:val="0"/>
          <w:bCs w:val="0"/>
          <w:color w:val="auto"/>
          <w:sz w:val="32"/>
          <w:szCs w:val="32"/>
          <w:lang w:val="en-US" w:eastAsia="zh-CN"/>
        </w:rPr>
        <w:t>2024</w:t>
      </w:r>
      <w:r>
        <w:rPr>
          <w:rFonts w:hint="eastAsia" w:asciiTheme="minorEastAsia" w:hAnsiTheme="minorEastAsia" w:eastAsiaTheme="minorEastAsia" w:cstheme="minorEastAsia"/>
          <w:b w:val="0"/>
          <w:bCs w:val="0"/>
          <w:color w:val="auto"/>
          <w:sz w:val="32"/>
          <w:szCs w:val="32"/>
        </w:rPr>
        <w:t>年</w:t>
      </w:r>
      <w:r>
        <w:rPr>
          <w:rFonts w:hint="eastAsia" w:asciiTheme="minorEastAsia" w:hAnsiTheme="minorEastAsia" w:eastAsiaTheme="minorEastAsia" w:cstheme="minorEastAsia"/>
          <w:b w:val="0"/>
          <w:bCs w:val="0"/>
          <w:color w:val="auto"/>
          <w:sz w:val="32"/>
          <w:szCs w:val="32"/>
          <w:lang w:val="en-US" w:eastAsia="zh-CN"/>
        </w:rPr>
        <w:t>9</w:t>
      </w:r>
      <w:r>
        <w:rPr>
          <w:rFonts w:hint="eastAsia" w:asciiTheme="minorEastAsia" w:hAnsiTheme="minorEastAsia" w:eastAsiaTheme="minorEastAsia" w:cstheme="minorEastAsia"/>
          <w:b w:val="0"/>
          <w:bCs w:val="0"/>
          <w:color w:val="auto"/>
          <w:sz w:val="32"/>
          <w:szCs w:val="32"/>
        </w:rPr>
        <w:t>月</w:t>
      </w:r>
      <w:r>
        <w:rPr>
          <w:rFonts w:hint="eastAsia" w:asciiTheme="minorEastAsia" w:hAnsiTheme="minorEastAsia" w:eastAsiaTheme="minorEastAsia" w:cstheme="minorEastAsia"/>
          <w:b w:val="0"/>
          <w:bCs w:val="0"/>
          <w:color w:val="auto"/>
          <w:sz w:val="32"/>
          <w:szCs w:val="32"/>
          <w:lang w:val="en-US" w:eastAsia="zh-CN"/>
        </w:rPr>
        <w:t>22</w:t>
      </w:r>
      <w:r>
        <w:rPr>
          <w:rFonts w:hint="eastAsia" w:asciiTheme="minorEastAsia" w:hAnsiTheme="minorEastAsia" w:eastAsiaTheme="minorEastAsia" w:cstheme="minorEastAsia"/>
          <w:b w:val="0"/>
          <w:bCs w:val="0"/>
          <w:color w:val="auto"/>
          <w:sz w:val="32"/>
          <w:szCs w:val="32"/>
        </w:rPr>
        <w:t>日</w:t>
      </w:r>
    </w:p>
    <w:p w14:paraId="0E4012CD">
      <w:pPr>
        <w:ind w:left="1058" w:leftChars="504"/>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w:t>
      </w:r>
    </w:p>
    <w:p w14:paraId="0165172C">
      <w:pPr>
        <w:ind w:left="1058" w:leftChars="504"/>
        <w:rPr>
          <w:rFonts w:asciiTheme="minorEastAsia" w:hAnsiTheme="minorEastAsia" w:eastAsiaTheme="minorEastAsia" w:cstheme="minorEastAsia"/>
          <w:sz w:val="32"/>
          <w:szCs w:val="32"/>
        </w:rPr>
      </w:pPr>
    </w:p>
    <w:tbl>
      <w:tblPr>
        <w:tblStyle w:val="8"/>
        <w:tblW w:w="86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
      <w:tblGrid>
        <w:gridCol w:w="8651"/>
      </w:tblGrid>
      <w:tr w14:paraId="7EEA769C">
        <w:trPr>
          <w:trHeight w:val="866" w:hRule="atLeast"/>
          <w:jc w:val="center"/>
        </w:trPr>
        <w:tc>
          <w:tcPr>
            <w:tcW w:w="8651" w:type="dxa"/>
            <w:tcBorders>
              <w:tl2br w:val="nil"/>
              <w:tr2bl w:val="nil"/>
            </w:tcBorders>
            <w:shd w:val="clear" w:color="auto" w:fill="FFFFFF"/>
            <w:tcMar>
              <w:top w:w="12" w:type="dxa"/>
              <w:left w:w="12" w:type="dxa"/>
              <w:bottom w:w="0" w:type="dxa"/>
              <w:right w:w="12" w:type="dxa"/>
            </w:tcMar>
            <w:vAlign w:val="center"/>
          </w:tcPr>
          <w:p w14:paraId="1E2573AC">
            <w:pPr>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32"/>
                <w:szCs w:val="32"/>
              </w:rPr>
              <w:t>验收意见</w:t>
            </w:r>
          </w:p>
        </w:tc>
      </w:tr>
      <w:tr w14:paraId="42909AED">
        <w:trPr>
          <w:trHeight w:val="1229" w:hRule="atLeast"/>
          <w:jc w:val="center"/>
        </w:trPr>
        <w:tc>
          <w:tcPr>
            <w:tcW w:w="8651" w:type="dxa"/>
            <w:tcBorders>
              <w:tl2br w:val="nil"/>
              <w:tr2bl w:val="nil"/>
            </w:tcBorders>
            <w:shd w:val="clear" w:color="auto" w:fill="FFFFFF"/>
            <w:tcMar>
              <w:top w:w="12" w:type="dxa"/>
              <w:left w:w="12" w:type="dxa"/>
              <w:bottom w:w="0" w:type="dxa"/>
              <w:right w:w="12" w:type="dxa"/>
            </w:tcMar>
          </w:tcPr>
          <w:p w14:paraId="6672A506">
            <w:pPr>
              <w:keepNext w:val="0"/>
              <w:keepLines w:val="0"/>
              <w:pageBreakBefore w:val="0"/>
              <w:widowControl w:val="0"/>
              <w:kinsoku/>
              <w:wordWrap/>
              <w:overflowPunct/>
              <w:topLinePunct w:val="0"/>
              <w:autoSpaceDE/>
              <w:autoSpaceDN/>
              <w:bidi w:val="0"/>
              <w:adjustRightInd w:val="0"/>
              <w:snapToGrid w:val="0"/>
              <w:spacing w:line="360" w:lineRule="auto"/>
              <w:ind w:firstLine="561" w:firstLineChars="200"/>
              <w:textAlignment w:val="auto"/>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一、验收组织情况</w:t>
            </w:r>
            <w:r>
              <w:rPr>
                <w:rFonts w:asciiTheme="minorEastAsia" w:hAnsiTheme="minorEastAsia" w:eastAsiaTheme="minorEastAsia" w:cstheme="minorEastAsia"/>
                <w:b/>
                <w:bCs/>
                <w:sz w:val="28"/>
                <w:szCs w:val="28"/>
              </w:rPr>
              <w:tab/>
            </w:r>
          </w:p>
          <w:p w14:paraId="5A74C3F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2024年</w:t>
            </w:r>
            <w:r>
              <w:rPr>
                <w:rFonts w:hint="eastAsia" w:asciiTheme="minorEastAsia" w:hAnsiTheme="minorEastAsia" w:eastAsiaTheme="minorEastAsia" w:cstheme="minorEastAsia"/>
                <w:sz w:val="28"/>
                <w:szCs w:val="28"/>
                <w:lang w:val="en-US" w:eastAsia="zh-CN"/>
              </w:rPr>
              <w:t>9</w:t>
            </w:r>
            <w:r>
              <w:rPr>
                <w:rFonts w:hint="eastAsia" w:asciiTheme="minorEastAsia" w:hAnsiTheme="minorEastAsia" w:eastAsiaTheme="minorEastAsia" w:cstheme="minorEastAsia"/>
                <w:sz w:val="28"/>
                <w:szCs w:val="28"/>
              </w:rPr>
              <w:t>月2</w:t>
            </w: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日，大兴安岭地区行政公署自然资源局组织专家组（名单附后）在塔河县</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对</w:t>
            </w:r>
            <w:r>
              <w:rPr>
                <w:rFonts w:hint="eastAsia" w:asciiTheme="minorEastAsia" w:hAnsiTheme="minorEastAsia" w:eastAsiaTheme="minorEastAsia" w:cstheme="minorEastAsia"/>
                <w:sz w:val="28"/>
                <w:szCs w:val="28"/>
              </w:rPr>
              <w:t>砂金过采区历史遗留废弃矿山CT2327222016000018001</w:t>
            </w:r>
            <w:r>
              <w:rPr>
                <w:rFonts w:hint="eastAsia" w:asciiTheme="minorEastAsia" w:hAnsiTheme="minorEastAsia" w:eastAsiaTheme="minorEastAsia" w:cstheme="minorEastAsia"/>
                <w:sz w:val="28"/>
                <w:szCs w:val="28"/>
                <w:lang w:val="en-US" w:eastAsia="zh-CN"/>
              </w:rPr>
              <w:t>图斑</w:t>
            </w:r>
            <w:r>
              <w:rPr>
                <w:rFonts w:hint="eastAsia" w:asciiTheme="minorEastAsia" w:hAnsiTheme="minorEastAsia" w:eastAsiaTheme="minorEastAsia" w:cstheme="minorEastAsia"/>
                <w:sz w:val="28"/>
                <w:szCs w:val="28"/>
              </w:rPr>
              <w:t>自然修复</w:t>
            </w:r>
            <w:r>
              <w:rPr>
                <w:rFonts w:hint="eastAsia" w:asciiTheme="minorEastAsia" w:hAnsiTheme="minorEastAsia" w:eastAsiaTheme="minorEastAsia" w:cstheme="minorEastAsia"/>
                <w:sz w:val="28"/>
                <w:szCs w:val="28"/>
                <w:lang w:val="en-US" w:eastAsia="zh-CN"/>
              </w:rPr>
              <w:t>成果</w:t>
            </w:r>
            <w:r>
              <w:rPr>
                <w:rFonts w:hint="eastAsia" w:asciiTheme="minorEastAsia" w:hAnsiTheme="minorEastAsia" w:eastAsiaTheme="minorEastAsia" w:cstheme="minorEastAsia"/>
                <w:sz w:val="28"/>
                <w:szCs w:val="28"/>
              </w:rPr>
              <w:t>进行</w:t>
            </w:r>
            <w:r>
              <w:rPr>
                <w:rFonts w:hint="eastAsia" w:asciiTheme="minorEastAsia" w:hAnsiTheme="minorEastAsia" w:eastAsiaTheme="minorEastAsia" w:cstheme="minorEastAsia"/>
                <w:sz w:val="28"/>
                <w:szCs w:val="28"/>
                <w:lang w:val="en-US" w:eastAsia="zh-CN"/>
              </w:rPr>
              <w:t>了</w:t>
            </w:r>
            <w:r>
              <w:rPr>
                <w:rFonts w:hint="eastAsia" w:asciiTheme="minorEastAsia" w:hAnsiTheme="minorEastAsia" w:eastAsiaTheme="minorEastAsia" w:cstheme="minorEastAsia"/>
                <w:sz w:val="28"/>
                <w:szCs w:val="28"/>
              </w:rPr>
              <w:t>验收。验收工作依据《自然资源部办公厅关于开展历史遗留矿山图斑变更核查的通知》（2023年3月28日）</w:t>
            </w:r>
            <w:r>
              <w:rPr>
                <w:rFonts w:hint="eastAsia" w:asciiTheme="minorEastAsia" w:hAnsiTheme="minorEastAsia" w:eastAsiaTheme="minorEastAsia" w:cstheme="minorEastAsia"/>
                <w:sz w:val="28"/>
                <w:szCs w:val="28"/>
                <w:lang w:val="en-US" w:eastAsia="zh-CN"/>
              </w:rPr>
              <w:t>和</w:t>
            </w:r>
            <w:r>
              <w:rPr>
                <w:rFonts w:hint="eastAsia" w:asciiTheme="minorEastAsia" w:hAnsiTheme="minorEastAsia" w:eastAsiaTheme="minorEastAsia" w:cstheme="minorEastAsia"/>
                <w:sz w:val="28"/>
                <w:szCs w:val="28"/>
              </w:rPr>
              <w:t>黑龙江省自然资源厅、黑龙江省生态环境厅、黑龙江省林业和草原局文件（黑自然资[2023]34号）关于印发《黑龙江省历史遗留矿山生态修复验收管理办法（试行）》（简称管理办法）的通知、《</w:t>
            </w:r>
            <w:bookmarkStart w:id="0" w:name="_Toc148001378"/>
            <w:bookmarkStart w:id="1" w:name="_Toc147929585"/>
            <w:r>
              <w:rPr>
                <w:rFonts w:hint="eastAsia" w:asciiTheme="minorEastAsia" w:hAnsiTheme="minorEastAsia" w:eastAsiaTheme="minorEastAsia" w:cstheme="minorEastAsia"/>
                <w:sz w:val="28"/>
                <w:szCs w:val="28"/>
              </w:rPr>
              <w:t>塔河县砂金过采区历史遗留废弃矿山（图斑号</w:t>
            </w:r>
            <w:r>
              <w:rPr>
                <w:rFonts w:asciiTheme="minorEastAsia" w:hAnsiTheme="minorEastAsia" w:eastAsiaTheme="minorEastAsia" w:cstheme="minorEastAsia"/>
                <w:sz w:val="28"/>
                <w:szCs w:val="28"/>
              </w:rPr>
              <w:t>CT2327222016000018001</w:t>
            </w:r>
            <w:r>
              <w:rPr>
                <w:rFonts w:hint="eastAsia" w:asciiTheme="minorEastAsia" w:hAnsiTheme="minorEastAsia" w:eastAsiaTheme="minorEastAsia" w:cstheme="minorEastAsia"/>
                <w:sz w:val="28"/>
                <w:szCs w:val="28"/>
              </w:rPr>
              <w:t>）自然恢复现状调查报告</w:t>
            </w:r>
            <w:bookmarkEnd w:id="0"/>
            <w:bookmarkEnd w:id="1"/>
            <w:r>
              <w:rPr>
                <w:rFonts w:hint="eastAsia" w:asciiTheme="minorEastAsia" w:hAnsiTheme="minorEastAsia" w:eastAsiaTheme="minorEastAsia" w:cstheme="minorEastAsia"/>
                <w:sz w:val="28"/>
                <w:szCs w:val="28"/>
              </w:rPr>
              <w:t>》（黑龙江省水文地质工程地质勘察院有限公司，2024年7月）及相关要求进行。</w:t>
            </w:r>
          </w:p>
          <w:p w14:paraId="7A1EE6E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大兴安岭地区行政公署自然资源局、生态环境局、林业和草原局和塔河县自然资源局及黑龙江省水文地质工程地质勘察院有限公司有关领导及人员、验收专家组成员参加了验收，采取“听、看、查、议”的方式进行。专家组成员通过听取该历史遗留废弃矿山图斑自然修复相关情况的汇报、实地查看矿山自然修复情况、内业资料检查，并就相关问题进行了询问和讨论，在取得共识的基础上，形成验收报告。</w:t>
            </w:r>
          </w:p>
          <w:p w14:paraId="5FA357A3">
            <w:pPr>
              <w:keepNext w:val="0"/>
              <w:keepLines w:val="0"/>
              <w:pageBreakBefore w:val="0"/>
              <w:widowControl w:val="0"/>
              <w:kinsoku/>
              <w:wordWrap/>
              <w:overflowPunct/>
              <w:topLinePunct w:val="0"/>
              <w:autoSpaceDE/>
              <w:autoSpaceDN/>
              <w:bidi w:val="0"/>
              <w:adjustRightInd w:val="0"/>
              <w:snapToGrid w:val="0"/>
              <w:spacing w:line="360" w:lineRule="auto"/>
              <w:ind w:firstLine="561" w:firstLineChars="200"/>
              <w:textAlignment w:val="auto"/>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二、自然修复矿山基本概况</w:t>
            </w:r>
          </w:p>
          <w:p w14:paraId="12842A8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1、矿山地理位置及面积</w:t>
            </w:r>
          </w:p>
          <w:p w14:paraId="116D821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Times New Roman" w:hAnsi="Times New Roman"/>
                <w:sz w:val="28"/>
                <w:szCs w:val="28"/>
              </w:rPr>
            </w:pPr>
            <w:r>
              <w:rPr>
                <w:rFonts w:hint="eastAsia" w:ascii="Times New Roman" w:hAnsi="Times New Roman"/>
                <w:sz w:val="28"/>
                <w:szCs w:val="28"/>
              </w:rPr>
              <w:t>塔河县历史遗留废弃矿山</w:t>
            </w:r>
            <w:r>
              <w:rPr>
                <w:rFonts w:ascii="Times New Roman" w:hAnsi="Times New Roman"/>
                <w:sz w:val="28"/>
                <w:szCs w:val="28"/>
              </w:rPr>
              <w:t>CT2327222016000018001</w:t>
            </w:r>
            <w:r>
              <w:rPr>
                <w:rFonts w:hint="eastAsia" w:ascii="Times New Roman" w:hAnsi="Times New Roman"/>
                <w:sz w:val="28"/>
                <w:szCs w:val="28"/>
                <w:lang w:val="en-US" w:eastAsia="zh-CN"/>
              </w:rPr>
              <w:t>图斑，</w:t>
            </w:r>
            <w:r>
              <w:rPr>
                <w:rFonts w:ascii="Times New Roman" w:hAnsi="Times New Roman"/>
                <w:sz w:val="28"/>
                <w:szCs w:val="28"/>
              </w:rPr>
              <w:t>位于</w:t>
            </w:r>
            <w:r>
              <w:rPr>
                <w:rFonts w:hint="eastAsia" w:ascii="Times New Roman" w:hAnsi="Times New Roman"/>
                <w:sz w:val="28"/>
                <w:szCs w:val="28"/>
              </w:rPr>
              <w:t>十八站</w:t>
            </w:r>
            <w:r>
              <w:rPr>
                <w:rFonts w:ascii="Times New Roman" w:hAnsi="Times New Roman"/>
                <w:sz w:val="28"/>
                <w:szCs w:val="28"/>
              </w:rPr>
              <w:t>林业局十八站森林资源管护区</w:t>
            </w:r>
            <w:r>
              <w:rPr>
                <w:rFonts w:hint="eastAsia" w:ascii="Times New Roman" w:hAnsi="Times New Roman"/>
                <w:sz w:val="28"/>
                <w:szCs w:val="28"/>
              </w:rPr>
              <w:t>，</w:t>
            </w:r>
            <w:r>
              <w:rPr>
                <w:rFonts w:ascii="Times New Roman" w:hAnsi="Times New Roman"/>
                <w:sz w:val="28"/>
                <w:szCs w:val="28"/>
              </w:rPr>
              <w:t>地理坐标：东经125°1</w:t>
            </w:r>
            <w:r>
              <w:rPr>
                <w:rFonts w:hint="eastAsia" w:ascii="Times New Roman" w:hAnsi="Times New Roman"/>
                <w:sz w:val="28"/>
                <w:szCs w:val="28"/>
              </w:rPr>
              <w:t>5</w:t>
            </w:r>
            <w:r>
              <w:rPr>
                <w:rFonts w:ascii="Times New Roman" w:hAnsi="Times New Roman"/>
                <w:sz w:val="28"/>
                <w:szCs w:val="28"/>
              </w:rPr>
              <w:t>′</w:t>
            </w:r>
            <w:r>
              <w:rPr>
                <w:rFonts w:hint="eastAsia" w:ascii="Times New Roman" w:hAnsi="Times New Roman"/>
                <w:sz w:val="28"/>
                <w:szCs w:val="28"/>
              </w:rPr>
              <w:t>09</w:t>
            </w:r>
            <w:r>
              <w:rPr>
                <w:rFonts w:ascii="Times New Roman" w:hAnsi="Times New Roman"/>
                <w:sz w:val="28"/>
                <w:szCs w:val="28"/>
              </w:rPr>
              <w:t>″－125°</w:t>
            </w:r>
            <w:r>
              <w:rPr>
                <w:rFonts w:hint="eastAsia" w:ascii="Times New Roman" w:hAnsi="Times New Roman"/>
                <w:sz w:val="28"/>
                <w:szCs w:val="28"/>
              </w:rPr>
              <w:t>16</w:t>
            </w:r>
            <w:r>
              <w:rPr>
                <w:rFonts w:ascii="Times New Roman" w:hAnsi="Times New Roman"/>
                <w:sz w:val="28"/>
                <w:szCs w:val="28"/>
              </w:rPr>
              <w:t>′</w:t>
            </w:r>
            <w:r>
              <w:rPr>
                <w:rFonts w:hint="eastAsia" w:ascii="Times New Roman" w:hAnsi="Times New Roman"/>
                <w:sz w:val="28"/>
                <w:szCs w:val="28"/>
              </w:rPr>
              <w:t>52</w:t>
            </w:r>
            <w:r>
              <w:rPr>
                <w:rFonts w:ascii="Times New Roman" w:hAnsi="Times New Roman"/>
                <w:sz w:val="28"/>
                <w:szCs w:val="28"/>
              </w:rPr>
              <w:t>″，北纬52°3</w:t>
            </w:r>
            <w:r>
              <w:rPr>
                <w:rFonts w:hint="eastAsia" w:ascii="Times New Roman" w:hAnsi="Times New Roman"/>
                <w:sz w:val="28"/>
                <w:szCs w:val="28"/>
              </w:rPr>
              <w:t>5</w:t>
            </w:r>
            <w:r>
              <w:rPr>
                <w:rFonts w:ascii="Times New Roman" w:hAnsi="Times New Roman"/>
                <w:sz w:val="28"/>
                <w:szCs w:val="28"/>
              </w:rPr>
              <w:t>′</w:t>
            </w:r>
            <w:r>
              <w:rPr>
                <w:rFonts w:hint="eastAsia" w:ascii="Times New Roman" w:hAnsi="Times New Roman"/>
                <w:sz w:val="28"/>
                <w:szCs w:val="28"/>
              </w:rPr>
              <w:t>59</w:t>
            </w:r>
            <w:r>
              <w:rPr>
                <w:rFonts w:ascii="Times New Roman" w:hAnsi="Times New Roman"/>
                <w:sz w:val="28"/>
                <w:szCs w:val="28"/>
              </w:rPr>
              <w:t>″－52°</w:t>
            </w:r>
            <w:r>
              <w:rPr>
                <w:rFonts w:hint="eastAsia" w:ascii="Times New Roman" w:hAnsi="Times New Roman"/>
                <w:sz w:val="28"/>
                <w:szCs w:val="28"/>
              </w:rPr>
              <w:t>37</w:t>
            </w:r>
            <w:r>
              <w:rPr>
                <w:rFonts w:ascii="Times New Roman" w:hAnsi="Times New Roman"/>
                <w:sz w:val="28"/>
                <w:szCs w:val="28"/>
              </w:rPr>
              <w:t>′</w:t>
            </w:r>
            <w:r>
              <w:rPr>
                <w:rFonts w:hint="eastAsia" w:ascii="Times New Roman" w:hAnsi="Times New Roman"/>
                <w:sz w:val="28"/>
                <w:szCs w:val="28"/>
              </w:rPr>
              <w:t>45</w:t>
            </w:r>
            <w:r>
              <w:rPr>
                <w:rFonts w:ascii="Times New Roman" w:hAnsi="Times New Roman"/>
                <w:sz w:val="28"/>
                <w:szCs w:val="28"/>
              </w:rPr>
              <w:t>″</w:t>
            </w:r>
            <w:r>
              <w:rPr>
                <w:rFonts w:hint="eastAsia" w:ascii="Times New Roman" w:hAnsi="Times New Roman"/>
                <w:sz w:val="28"/>
                <w:szCs w:val="28"/>
                <w:lang w:eastAsia="zh-CN"/>
              </w:rPr>
              <w:t>，</w:t>
            </w:r>
            <w:r>
              <w:rPr>
                <w:rFonts w:hint="eastAsia" w:ascii="Times New Roman" w:hAnsi="Times New Roman"/>
                <w:sz w:val="28"/>
                <w:szCs w:val="28"/>
              </w:rPr>
              <w:t>面积61.0913公顷。</w:t>
            </w:r>
          </w:p>
          <w:p w14:paraId="1CB02C5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2、矿山生态环境问题</w:t>
            </w:r>
          </w:p>
          <w:p w14:paraId="69F07BE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2004年以前，对砂金矿的大量开采造成大面积的土地资源挖损与占用破坏，矿区破坏主要地类为林地、草地、沼泽草地、森林沼泽、河流水面、农村道路等。经调查统计开采形成的历史遗留废弃矿山图斑，土地资源挖损与占用破坏总面积为61.0913公顷。由于矿山开采，造成地表砂、砂砾石、砾卵石裸露，植被损毁，土地资源与植被损毁及破坏程度均很严重，生态环境质量较差。</w:t>
            </w:r>
          </w:p>
          <w:p w14:paraId="64B15EA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2004年及以后，砂金矿全面停采，矿山生态环境处于自然修复状态。</w:t>
            </w:r>
          </w:p>
          <w:p w14:paraId="740DC551">
            <w:pPr>
              <w:keepNext w:val="0"/>
              <w:keepLines w:val="0"/>
              <w:pageBreakBefore w:val="0"/>
              <w:widowControl w:val="0"/>
              <w:kinsoku/>
              <w:wordWrap/>
              <w:overflowPunct/>
              <w:topLinePunct w:val="0"/>
              <w:autoSpaceDE/>
              <w:autoSpaceDN/>
              <w:bidi w:val="0"/>
              <w:adjustRightInd w:val="0"/>
              <w:snapToGrid w:val="0"/>
              <w:spacing w:line="360" w:lineRule="auto"/>
              <w:ind w:firstLine="561" w:firstLineChars="200"/>
              <w:textAlignment w:val="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三、验收组检查情况</w:t>
            </w:r>
          </w:p>
          <w:p w14:paraId="694F642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验收专家组，内业查看《塔河县砂金过采区历史遗留废弃矿山（图斑号</w:t>
            </w:r>
            <w:r>
              <w:rPr>
                <w:rFonts w:asciiTheme="minorEastAsia" w:hAnsiTheme="minorEastAsia" w:eastAsiaTheme="minorEastAsia" w:cstheme="minorEastAsia"/>
                <w:sz w:val="28"/>
                <w:szCs w:val="28"/>
              </w:rPr>
              <w:t>CT2327222016000018001</w:t>
            </w:r>
            <w:r>
              <w:rPr>
                <w:rFonts w:hint="eastAsia" w:asciiTheme="minorEastAsia" w:hAnsiTheme="minorEastAsia" w:eastAsiaTheme="minorEastAsia" w:cstheme="minorEastAsia"/>
                <w:sz w:val="28"/>
                <w:szCs w:val="28"/>
              </w:rPr>
              <w:t>）自然恢复现状调查报告》</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野外现场对图斑分布区采用无人机空中拍摄影像和地面路线穿越查看，主要工作内容：图斑坐标核对、查看场地平整程度、矿山地质环境问题消除、地形地貌景观与土壤植被修复、河道及水流，以及修复后的生态环境与周边自然环境、景观环境协调程度等情况。经检查，现场查看图斑范围内生态环境修复现状及相关信息与现状调查报告中对应描述内容基本吻合，报告内容可信程度高，作为验收依据充分。</w:t>
            </w:r>
          </w:p>
          <w:p w14:paraId="7D581BD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塔河县砂金过采区历史遗留废弃矿山</w:t>
            </w:r>
            <w:r>
              <w:rPr>
                <w:rFonts w:asciiTheme="minorEastAsia" w:hAnsiTheme="minorEastAsia" w:eastAsiaTheme="minorEastAsia" w:cstheme="minorEastAsia"/>
                <w:sz w:val="28"/>
                <w:szCs w:val="28"/>
              </w:rPr>
              <w:t>CT2327222016000018001</w:t>
            </w:r>
            <w:r>
              <w:rPr>
                <w:rFonts w:hint="eastAsia" w:asciiTheme="minorEastAsia" w:hAnsiTheme="minorEastAsia" w:eastAsiaTheme="minorEastAsia" w:cstheme="minorEastAsia"/>
                <w:sz w:val="28"/>
                <w:szCs w:val="28"/>
                <w:lang w:val="en-US" w:eastAsia="zh-CN"/>
              </w:rPr>
              <w:t>图斑</w:t>
            </w:r>
            <w:r>
              <w:rPr>
                <w:rFonts w:hint="eastAsia" w:asciiTheme="minorEastAsia" w:hAnsiTheme="minorEastAsia" w:eastAsiaTheme="minorEastAsia" w:cstheme="minorEastAsia"/>
                <w:sz w:val="28"/>
                <w:szCs w:val="28"/>
              </w:rPr>
              <w:t>，在历史遗留矿山图斑数据库内；矿山位置偏远、远离城镇，人为扰动少；地质结构稳定、无直接威胁对象，无地质灾害隐患，地貌景观形态较完整，无水土污染问题；第四系松散沉积物丰富，具备植被存活的土壤、水源等基本条件，可自然缓慢生长植被。矿山自然恢复方式，满足“管理办法”第二十三条要求</w:t>
            </w:r>
            <w:r>
              <w:rPr>
                <w:rFonts w:hint="eastAsia" w:asciiTheme="minorEastAsia" w:hAnsiTheme="minorEastAsia" w:eastAsiaTheme="minorEastAsia" w:cstheme="minorEastAsia"/>
                <w:sz w:val="28"/>
                <w:szCs w:val="28"/>
                <w:lang w:eastAsia="zh-CN"/>
              </w:rPr>
              <w:t>。</w:t>
            </w:r>
          </w:p>
          <w:p w14:paraId="56265C49">
            <w:pPr>
              <w:keepNext w:val="0"/>
              <w:keepLines w:val="0"/>
              <w:pageBreakBefore w:val="0"/>
              <w:widowControl w:val="0"/>
              <w:kinsoku/>
              <w:wordWrap/>
              <w:overflowPunct/>
              <w:topLinePunct w:val="0"/>
              <w:autoSpaceDE/>
              <w:autoSpaceDN/>
              <w:bidi w:val="0"/>
              <w:adjustRightInd w:val="0"/>
              <w:snapToGrid w:val="0"/>
              <w:spacing w:line="360" w:lineRule="auto"/>
              <w:ind w:firstLine="561" w:firstLineChars="200"/>
              <w:textAlignment w:val="auto"/>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四、矿山生态</w:t>
            </w:r>
            <w:r>
              <w:rPr>
                <w:rFonts w:hint="eastAsia" w:asciiTheme="minorEastAsia" w:hAnsiTheme="minorEastAsia" w:eastAsiaTheme="minorEastAsia" w:cstheme="minorEastAsia"/>
                <w:b/>
                <w:bCs/>
                <w:sz w:val="28"/>
                <w:szCs w:val="28"/>
                <w:lang w:val="en-US" w:eastAsia="zh-CN"/>
              </w:rPr>
              <w:t>修复</w:t>
            </w:r>
            <w:r>
              <w:rPr>
                <w:rFonts w:hint="eastAsia" w:asciiTheme="minorEastAsia" w:hAnsiTheme="minorEastAsia" w:eastAsiaTheme="minorEastAsia" w:cstheme="minorEastAsia"/>
                <w:b/>
                <w:bCs/>
                <w:sz w:val="28"/>
                <w:szCs w:val="28"/>
              </w:rPr>
              <w:t>成果</w:t>
            </w:r>
          </w:p>
          <w:p w14:paraId="3DD1C86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通过查看内业资料和外业实地查看，经综合评判认定塔河县砂金过采区历史遗留废弃矿山</w:t>
            </w:r>
            <w:r>
              <w:rPr>
                <w:rFonts w:asciiTheme="minorEastAsia" w:hAnsiTheme="minorEastAsia" w:eastAsiaTheme="minorEastAsia" w:cstheme="minorEastAsia"/>
                <w:sz w:val="28"/>
                <w:szCs w:val="28"/>
              </w:rPr>
              <w:t>CT2327222016000018001</w:t>
            </w:r>
            <w:r>
              <w:rPr>
                <w:rFonts w:hint="eastAsia" w:asciiTheme="minorEastAsia" w:hAnsiTheme="minorEastAsia" w:eastAsiaTheme="minorEastAsia" w:cstheme="minorEastAsia"/>
                <w:sz w:val="28"/>
                <w:szCs w:val="28"/>
              </w:rPr>
              <w:t>图斑范围经过近二十年时间的自然修复，</w:t>
            </w:r>
            <w:r>
              <w:rPr>
                <w:rFonts w:hint="eastAsia" w:asciiTheme="minorEastAsia" w:hAnsiTheme="minorEastAsia" w:eastAsiaTheme="minorEastAsia" w:cstheme="minorEastAsia"/>
                <w:sz w:val="28"/>
                <w:szCs w:val="28"/>
                <w:lang w:val="en-US" w:eastAsia="zh-CN"/>
              </w:rPr>
              <w:t>完成</w:t>
            </w:r>
            <w:r>
              <w:rPr>
                <w:rFonts w:hint="eastAsia" w:asciiTheme="minorEastAsia" w:hAnsiTheme="minorEastAsia" w:eastAsiaTheme="minorEastAsia" w:cstheme="minorEastAsia"/>
                <w:sz w:val="28"/>
                <w:szCs w:val="28"/>
              </w:rPr>
              <w:t>生态修复面积61.0913公顷，其中修复为林（草）地面积53.93公顷，主要树种为落叶松、白桦、樟子松、水冬瓜赤杨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沼柳、蒿柳、山高粱、红瑞木、越桔、刺玫果等，草本植物有苔草、地榆、马先蒿、金莲花、老鹤草、野豌豆、黄花菜等；道路面积0.40公顷，裸土地2.02公顷，河流及坑塘水面4.73公顷。</w:t>
            </w:r>
          </w:p>
          <w:p w14:paraId="217190F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塔河县砂金过采区历史遗留废弃矿山</w:t>
            </w:r>
            <w:r>
              <w:rPr>
                <w:rFonts w:asciiTheme="minorEastAsia" w:hAnsiTheme="minorEastAsia" w:eastAsiaTheme="minorEastAsia" w:cstheme="minorEastAsia"/>
                <w:sz w:val="28"/>
                <w:szCs w:val="28"/>
              </w:rPr>
              <w:t>CT2327222016000018001</w:t>
            </w:r>
            <w:r>
              <w:rPr>
                <w:rFonts w:hint="eastAsia" w:asciiTheme="minorEastAsia" w:hAnsiTheme="minorEastAsia" w:eastAsiaTheme="minorEastAsia" w:cstheme="minorEastAsia"/>
                <w:sz w:val="28"/>
                <w:szCs w:val="28"/>
              </w:rPr>
              <w:t>图斑范围内，矿业活动造成的矿山生态环境问题及生态胁迫因子基本消除，不具备发生危及人民生命财产安全事件的条件，不存在新的矿山地质环境问题；矿山占用与损毁的土地及植被得到了良好的恢复，土地利用功能和生态环境状况得到明显的改善。自然恢复区岩土裸露区域面积</w:t>
            </w:r>
            <w:r>
              <w:rPr>
                <w:rFonts w:hint="eastAsia" w:asciiTheme="minorEastAsia" w:hAnsiTheme="minorEastAsia" w:eastAsiaTheme="minorEastAsia" w:cstheme="minorEastAsia"/>
                <w:sz w:val="28"/>
                <w:szCs w:val="28"/>
                <w:lang w:val="en-US" w:eastAsia="zh-CN"/>
              </w:rPr>
              <w:t>与</w:t>
            </w:r>
            <w:r>
              <w:rPr>
                <w:rFonts w:hint="eastAsia" w:asciiTheme="minorEastAsia" w:hAnsiTheme="minorEastAsia" w:eastAsiaTheme="minorEastAsia" w:cstheme="minorEastAsia"/>
                <w:sz w:val="28"/>
                <w:szCs w:val="28"/>
              </w:rPr>
              <w:t>自然恢复区域面积之比为3.62%；植被长势良好，草木覆盖率96.38%；矿山自然恢复区与周边自然环境、景观环境基本协调，植被增长高度、成活率、覆盖率等指标整体呈正增长趋势。矿山土地及植被基本得到恢复并达到可供利用的状态，自然状态下生态环境持续稳定向好。</w:t>
            </w:r>
          </w:p>
          <w:p w14:paraId="446095F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lang w:val="en-US" w:bidi="ar-SA"/>
              </w:rPr>
            </w:pPr>
            <w:r>
              <w:rPr>
                <w:rFonts w:hint="eastAsia" w:asciiTheme="minorEastAsia" w:hAnsiTheme="minorEastAsia" w:eastAsiaTheme="minorEastAsia" w:cstheme="minorEastAsia"/>
                <w:spacing w:val="0"/>
                <w:kern w:val="2"/>
                <w:sz w:val="28"/>
                <w:szCs w:val="28"/>
                <w:lang w:val="en-US" w:eastAsia="zh-CN" w:bidi="ar-SA"/>
              </w:rPr>
              <w:t>塔河县砂金过采区历史遗留废弃矿山CT2327222016000018001图斑，生态修</w:t>
            </w:r>
            <w:r>
              <w:rPr>
                <w:rFonts w:hint="eastAsia" w:asciiTheme="minorEastAsia" w:hAnsiTheme="minorEastAsia" w:eastAsiaTheme="minorEastAsia" w:cstheme="minorEastAsia"/>
                <w:sz w:val="28"/>
              </w:rPr>
              <w:t>复成果达到了“管理办法”中“第二十九条”要求。</w:t>
            </w:r>
          </w:p>
          <w:p w14:paraId="6048E297">
            <w:pPr>
              <w:keepNext w:val="0"/>
              <w:keepLines w:val="0"/>
              <w:pageBreakBefore w:val="0"/>
              <w:widowControl w:val="0"/>
              <w:kinsoku/>
              <w:wordWrap/>
              <w:overflowPunct/>
              <w:topLinePunct w:val="0"/>
              <w:autoSpaceDE/>
              <w:autoSpaceDN/>
              <w:bidi w:val="0"/>
              <w:adjustRightInd w:val="0"/>
              <w:snapToGrid w:val="0"/>
              <w:spacing w:line="360" w:lineRule="auto"/>
              <w:ind w:firstLine="561" w:firstLineChars="200"/>
              <w:textAlignment w:val="auto"/>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五、后续管护责任主体和措施落实情况</w:t>
            </w:r>
          </w:p>
          <w:p w14:paraId="22DD1C1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后续管护责任主体和措施，均未落实。</w:t>
            </w:r>
          </w:p>
          <w:p w14:paraId="1DE1C71A">
            <w:pPr>
              <w:keepNext w:val="0"/>
              <w:keepLines w:val="0"/>
              <w:pageBreakBefore w:val="0"/>
              <w:widowControl w:val="0"/>
              <w:kinsoku/>
              <w:wordWrap/>
              <w:overflowPunct/>
              <w:topLinePunct w:val="0"/>
              <w:autoSpaceDE/>
              <w:autoSpaceDN/>
              <w:bidi w:val="0"/>
              <w:adjustRightInd w:val="0"/>
              <w:snapToGrid w:val="0"/>
              <w:spacing w:line="360" w:lineRule="auto"/>
              <w:ind w:firstLine="561" w:firstLineChars="200"/>
              <w:textAlignment w:val="auto"/>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六、要求整改内容和建议</w:t>
            </w:r>
          </w:p>
          <w:p w14:paraId="4625E78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1、设置警示牌，禁止在修复场地内取土、砂等人类活动。</w:t>
            </w:r>
          </w:p>
          <w:p w14:paraId="38BF37F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2、进行定期巡查，发现并消除影响矿山自然修复的其他不利因素。</w:t>
            </w:r>
          </w:p>
          <w:p w14:paraId="47B491D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rPr>
              <w:t>、落实后续管护责任主体和措施，以保证植被增长高度、成活率、覆盖率等指标整体呈正增长趋势。</w:t>
            </w:r>
          </w:p>
          <w:p w14:paraId="7BB1F420">
            <w:pPr>
              <w:keepNext w:val="0"/>
              <w:keepLines w:val="0"/>
              <w:pageBreakBefore w:val="0"/>
              <w:widowControl w:val="0"/>
              <w:kinsoku/>
              <w:wordWrap/>
              <w:overflowPunct/>
              <w:topLinePunct w:val="0"/>
              <w:autoSpaceDE/>
              <w:autoSpaceDN/>
              <w:bidi w:val="0"/>
              <w:adjustRightInd w:val="0"/>
              <w:snapToGrid w:val="0"/>
              <w:spacing w:line="360" w:lineRule="auto"/>
              <w:ind w:firstLine="561" w:firstLineChars="200"/>
              <w:textAlignment w:val="auto"/>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七、验收结论</w:t>
            </w:r>
          </w:p>
          <w:p w14:paraId="264D03D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sz w:val="28"/>
              </w:rPr>
              <w:t>塔河县砂金过采区历史遗留废弃矿山</w:t>
            </w:r>
            <w:r>
              <w:rPr>
                <w:rFonts w:asciiTheme="minorEastAsia" w:hAnsiTheme="minorEastAsia" w:eastAsiaTheme="minorEastAsia" w:cstheme="minorEastAsia"/>
                <w:sz w:val="28"/>
              </w:rPr>
              <w:t>CT2327222016000018001</w:t>
            </w:r>
            <w:r>
              <w:rPr>
                <w:rFonts w:hint="eastAsia" w:asciiTheme="minorEastAsia" w:hAnsiTheme="minorEastAsia" w:eastAsiaTheme="minorEastAsia" w:cstheme="minorEastAsia"/>
                <w:sz w:val="28"/>
                <w:lang w:val="en-US" w:eastAsia="zh-CN"/>
              </w:rPr>
              <w:t>图斑</w:t>
            </w:r>
            <w:r>
              <w:rPr>
                <w:rFonts w:hint="eastAsia" w:asciiTheme="minorEastAsia" w:hAnsiTheme="minorEastAsia" w:eastAsiaTheme="minorEastAsia" w:cstheme="minorEastAsia"/>
                <w:sz w:val="28"/>
                <w:szCs w:val="28"/>
              </w:rPr>
              <w:t>，生态修复面积61.0913公顷，生态修复成果已达到黑自然资[2023]34号文件“管理办法”中“第二十三条——第二十九条”要求</w:t>
            </w:r>
            <w:r>
              <w:rPr>
                <w:rFonts w:hint="eastAsia" w:asciiTheme="minorEastAsia" w:hAnsiTheme="minorEastAsia" w:eastAsiaTheme="minorEastAsia" w:cstheme="minorEastAsia"/>
                <w:b w:val="0"/>
                <w:bCs w:val="0"/>
                <w:color w:val="auto"/>
                <w:sz w:val="28"/>
                <w:szCs w:val="28"/>
                <w:lang w:val="en-US" w:eastAsia="zh-CN"/>
              </w:rPr>
              <w:t>，</w:t>
            </w:r>
            <w:r>
              <w:rPr>
                <w:rFonts w:hint="eastAsia" w:ascii="宋体" w:hAnsi="宋体" w:eastAsia="宋体" w:cs="宋体"/>
                <w:b w:val="0"/>
                <w:bCs w:val="0"/>
                <w:sz w:val="28"/>
                <w:szCs w:val="28"/>
                <w:lang w:val="en-US" w:eastAsia="zh-CN"/>
              </w:rPr>
              <w:t>也符合相关自然恢复技术规范要求</w:t>
            </w:r>
            <w:r>
              <w:rPr>
                <w:rFonts w:hint="eastAsia" w:asciiTheme="minorEastAsia" w:hAnsiTheme="minorEastAsia" w:eastAsiaTheme="minorEastAsia" w:cstheme="minorEastAsia"/>
                <w:b w:val="0"/>
                <w:bCs w:val="0"/>
                <w:color w:val="auto"/>
                <w:sz w:val="28"/>
                <w:szCs w:val="28"/>
                <w:lang w:val="en-US" w:eastAsia="zh-CN"/>
              </w:rPr>
              <w:t>。</w:t>
            </w:r>
            <w:r>
              <w:rPr>
                <w:rFonts w:hint="eastAsia" w:ascii="宋体" w:hAnsi="宋体" w:eastAsia="宋体" w:cs="宋体"/>
                <w:b w:val="0"/>
                <w:bCs w:val="0"/>
                <w:sz w:val="28"/>
                <w:szCs w:val="28"/>
                <w:lang w:val="en-US" w:eastAsia="zh-CN"/>
              </w:rPr>
              <w:t>自然恢复效果自评报告，评价内容合理，符合实际。</w:t>
            </w:r>
            <w:r>
              <w:rPr>
                <w:rFonts w:hint="eastAsia" w:asciiTheme="minorEastAsia" w:hAnsiTheme="minorEastAsia" w:eastAsiaTheme="minorEastAsia" w:cstheme="minorEastAsia"/>
                <w:b w:val="0"/>
                <w:bCs w:val="0"/>
                <w:color w:val="auto"/>
                <w:sz w:val="28"/>
                <w:szCs w:val="28"/>
                <w:lang w:val="en-US" w:eastAsia="zh-CN"/>
              </w:rPr>
              <w:t>矿山自然恢复成效明显、验收资料真实完整、实施过程科学规范。综合评判自然恢复成果，认定为合格，验收通过。</w:t>
            </w:r>
          </w:p>
          <w:p w14:paraId="46C47A0A">
            <w:pPr>
              <w:pStyle w:val="4"/>
              <w:keepNext w:val="0"/>
              <w:keepLines w:val="0"/>
              <w:pageBreakBefore w:val="0"/>
              <w:widowControl w:val="0"/>
              <w:kinsoku/>
              <w:wordWrap/>
              <w:overflowPunct/>
              <w:topLinePunct w:val="0"/>
              <w:autoSpaceDE/>
              <w:autoSpaceDN/>
              <w:bidi w:val="0"/>
              <w:adjustRightInd w:val="0"/>
              <w:snapToGrid w:val="0"/>
              <w:spacing w:before="0" w:line="360" w:lineRule="auto"/>
              <w:textAlignment w:val="auto"/>
              <w:rPr>
                <w:lang w:val="en-US"/>
              </w:rPr>
            </w:pPr>
          </w:p>
          <w:p w14:paraId="29CA03DB">
            <w:pPr>
              <w:rPr>
                <w:lang w:val="en-US"/>
              </w:rPr>
            </w:pPr>
          </w:p>
          <w:p w14:paraId="1E081F8B">
            <w:pPr>
              <w:rPr>
                <w:lang w:val="en-US"/>
              </w:rPr>
            </w:pPr>
          </w:p>
          <w:p w14:paraId="62BDF98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黑体" w:hAnsi="黑体" w:eastAsia="黑体" w:cstheme="minorEastAsia"/>
                <w:sz w:val="32"/>
                <w:szCs w:val="32"/>
              </w:rPr>
            </w:pPr>
            <w:r>
              <w:rPr>
                <w:rFonts w:hint="eastAsia" w:asciiTheme="minorEastAsia" w:hAnsiTheme="minorEastAsia" w:eastAsiaTheme="minorEastAsia" w:cstheme="minorEastAsia"/>
                <w:b w:val="0"/>
                <w:bCs w:val="0"/>
                <w:color w:val="auto"/>
                <w:sz w:val="32"/>
                <w:szCs w:val="32"/>
                <w:lang w:val="en-US" w:eastAsia="zh-CN"/>
              </w:rPr>
              <w:t>2024</w:t>
            </w:r>
            <w:r>
              <w:rPr>
                <w:rFonts w:hint="eastAsia" w:asciiTheme="minorEastAsia" w:hAnsiTheme="minorEastAsia" w:eastAsiaTheme="minorEastAsia" w:cstheme="minorEastAsia"/>
                <w:b w:val="0"/>
                <w:bCs w:val="0"/>
                <w:color w:val="auto"/>
                <w:sz w:val="32"/>
                <w:szCs w:val="32"/>
              </w:rPr>
              <w:t>年</w:t>
            </w:r>
            <w:r>
              <w:rPr>
                <w:rFonts w:hint="eastAsia" w:asciiTheme="minorEastAsia" w:hAnsiTheme="minorEastAsia" w:eastAsiaTheme="minorEastAsia" w:cstheme="minorEastAsia"/>
                <w:b w:val="0"/>
                <w:bCs w:val="0"/>
                <w:color w:val="auto"/>
                <w:sz w:val="32"/>
                <w:szCs w:val="32"/>
                <w:lang w:val="en-US" w:eastAsia="zh-CN"/>
              </w:rPr>
              <w:t>9</w:t>
            </w:r>
            <w:r>
              <w:rPr>
                <w:rFonts w:hint="eastAsia" w:asciiTheme="minorEastAsia" w:hAnsiTheme="minorEastAsia" w:eastAsiaTheme="minorEastAsia" w:cstheme="minorEastAsia"/>
                <w:b w:val="0"/>
                <w:bCs w:val="0"/>
                <w:color w:val="auto"/>
                <w:sz w:val="32"/>
                <w:szCs w:val="32"/>
              </w:rPr>
              <w:t>月</w:t>
            </w:r>
            <w:r>
              <w:rPr>
                <w:rFonts w:hint="eastAsia" w:asciiTheme="minorEastAsia" w:hAnsiTheme="minorEastAsia" w:eastAsiaTheme="minorEastAsia" w:cstheme="minorEastAsia"/>
                <w:b w:val="0"/>
                <w:bCs w:val="0"/>
                <w:color w:val="auto"/>
                <w:sz w:val="32"/>
                <w:szCs w:val="32"/>
                <w:lang w:val="en-US" w:eastAsia="zh-CN"/>
              </w:rPr>
              <w:t>22</w:t>
            </w:r>
            <w:r>
              <w:rPr>
                <w:rFonts w:hint="eastAsia" w:asciiTheme="minorEastAsia" w:hAnsiTheme="minorEastAsia" w:eastAsiaTheme="minorEastAsia" w:cstheme="minorEastAsia"/>
                <w:b w:val="0"/>
                <w:bCs w:val="0"/>
                <w:color w:val="auto"/>
                <w:sz w:val="32"/>
                <w:szCs w:val="32"/>
              </w:rPr>
              <w:t>日</w:t>
            </w:r>
          </w:p>
          <w:p w14:paraId="7B769E54">
            <w:pPr>
              <w:keepNext w:val="0"/>
              <w:keepLines w:val="0"/>
              <w:pageBreakBefore w:val="0"/>
              <w:widowControl w:val="0"/>
              <w:kinsoku/>
              <w:wordWrap/>
              <w:overflowPunct/>
              <w:topLinePunct w:val="0"/>
              <w:autoSpaceDE/>
              <w:autoSpaceDN/>
              <w:bidi w:val="0"/>
              <w:adjustRightInd w:val="0"/>
              <w:snapToGrid w:val="0"/>
              <w:spacing w:line="360" w:lineRule="auto"/>
              <w:textAlignment w:val="auto"/>
            </w:pPr>
          </w:p>
          <w:p w14:paraId="73572CBE">
            <w:pPr>
              <w:pStyle w:val="4"/>
              <w:keepNext w:val="0"/>
              <w:keepLines w:val="0"/>
              <w:pageBreakBefore w:val="0"/>
              <w:widowControl w:val="0"/>
              <w:kinsoku/>
              <w:wordWrap/>
              <w:overflowPunct/>
              <w:topLinePunct w:val="0"/>
              <w:autoSpaceDE/>
              <w:autoSpaceDN/>
              <w:bidi w:val="0"/>
              <w:adjustRightInd w:val="0"/>
              <w:snapToGrid w:val="0"/>
              <w:spacing w:before="0" w:line="360" w:lineRule="auto"/>
              <w:textAlignment w:val="auto"/>
              <w:rPr>
                <w:lang w:val="en-US" w:bidi="ar-SA"/>
              </w:rPr>
            </w:pPr>
          </w:p>
          <w:p w14:paraId="6D382588"/>
          <w:p w14:paraId="3103CA58">
            <w:pPr>
              <w:pStyle w:val="4"/>
              <w:rPr>
                <w:lang w:val="en-US" w:bidi="ar-SA"/>
              </w:rPr>
            </w:pPr>
          </w:p>
          <w:p w14:paraId="1CBEC481">
            <w:pPr>
              <w:adjustRightInd w:val="0"/>
              <w:snapToGrid w:val="0"/>
              <w:spacing w:line="360" w:lineRule="auto"/>
              <w:ind w:firstLine="560" w:firstLineChars="200"/>
              <w:rPr>
                <w:rFonts w:asciiTheme="minorEastAsia" w:hAnsiTheme="minorEastAsia" w:eastAsiaTheme="minorEastAsia" w:cstheme="minorEastAsia"/>
                <w:sz w:val="28"/>
                <w:szCs w:val="28"/>
              </w:rPr>
            </w:pPr>
          </w:p>
          <w:p w14:paraId="3FD365C4">
            <w:pPr>
              <w:adjustRightInd w:val="0"/>
              <w:snapToGrid w:val="0"/>
              <w:spacing w:line="360" w:lineRule="auto"/>
              <w:ind w:firstLine="560" w:firstLineChars="200"/>
              <w:rPr>
                <w:rFonts w:asciiTheme="minorEastAsia" w:hAnsiTheme="minorEastAsia" w:eastAsiaTheme="minorEastAsia" w:cstheme="minorEastAsia"/>
                <w:sz w:val="28"/>
                <w:szCs w:val="28"/>
              </w:rPr>
            </w:pPr>
          </w:p>
          <w:p w14:paraId="53E57F70">
            <w:pPr>
              <w:adjustRightInd w:val="0"/>
              <w:snapToGrid w:val="0"/>
              <w:spacing w:line="360" w:lineRule="auto"/>
              <w:ind w:firstLine="560" w:firstLineChars="200"/>
              <w:rPr>
                <w:rFonts w:asciiTheme="minorEastAsia" w:hAnsiTheme="minorEastAsia" w:eastAsiaTheme="minorEastAsia" w:cstheme="minorEastAsia"/>
                <w:sz w:val="28"/>
                <w:szCs w:val="28"/>
              </w:rPr>
            </w:pPr>
          </w:p>
          <w:p w14:paraId="3F721D1D">
            <w:pPr>
              <w:adjustRightInd w:val="0"/>
              <w:snapToGrid w:val="0"/>
              <w:spacing w:line="360" w:lineRule="auto"/>
              <w:ind w:firstLine="560" w:firstLineChars="200"/>
              <w:rPr>
                <w:rFonts w:asciiTheme="minorEastAsia" w:hAnsiTheme="minorEastAsia" w:eastAsiaTheme="minorEastAsia" w:cstheme="minorEastAsia"/>
                <w:sz w:val="28"/>
                <w:szCs w:val="28"/>
              </w:rPr>
            </w:pPr>
          </w:p>
          <w:p w14:paraId="49475896">
            <w:pPr>
              <w:adjustRightInd w:val="0"/>
              <w:snapToGrid w:val="0"/>
              <w:spacing w:line="360" w:lineRule="auto"/>
              <w:ind w:firstLine="560" w:firstLineChars="200"/>
              <w:rPr>
                <w:rFonts w:asciiTheme="minorEastAsia" w:hAnsiTheme="minorEastAsia" w:eastAsiaTheme="minorEastAsia" w:cstheme="minorEastAsia"/>
                <w:sz w:val="28"/>
                <w:szCs w:val="28"/>
              </w:rPr>
            </w:pPr>
          </w:p>
          <w:p w14:paraId="14D06B0A">
            <w:pPr>
              <w:adjustRightInd w:val="0"/>
              <w:snapToGrid w:val="0"/>
              <w:spacing w:line="360" w:lineRule="auto"/>
              <w:ind w:firstLine="560" w:firstLineChars="200"/>
              <w:rPr>
                <w:rFonts w:asciiTheme="minorEastAsia" w:hAnsiTheme="minorEastAsia" w:eastAsiaTheme="minorEastAsia" w:cstheme="minorEastAsia"/>
                <w:sz w:val="28"/>
                <w:szCs w:val="28"/>
              </w:rPr>
            </w:pPr>
          </w:p>
          <w:p w14:paraId="5CDB0D93">
            <w:pPr>
              <w:adjustRightInd w:val="0"/>
              <w:snapToGrid w:val="0"/>
              <w:spacing w:line="360" w:lineRule="auto"/>
              <w:ind w:firstLine="560" w:firstLineChars="200"/>
              <w:rPr>
                <w:rFonts w:asciiTheme="minorEastAsia" w:hAnsiTheme="minorEastAsia" w:eastAsiaTheme="minorEastAsia" w:cstheme="minorEastAsia"/>
                <w:sz w:val="28"/>
                <w:szCs w:val="28"/>
              </w:rPr>
            </w:pPr>
          </w:p>
          <w:p w14:paraId="20F12641">
            <w:pPr>
              <w:adjustRightInd w:val="0"/>
              <w:snapToGrid w:val="0"/>
              <w:spacing w:line="360" w:lineRule="auto"/>
              <w:ind w:firstLine="560" w:firstLineChars="200"/>
              <w:rPr>
                <w:rFonts w:asciiTheme="minorEastAsia" w:hAnsiTheme="minorEastAsia" w:eastAsiaTheme="minorEastAsia" w:cstheme="minorEastAsia"/>
                <w:sz w:val="28"/>
                <w:szCs w:val="28"/>
              </w:rPr>
            </w:pPr>
          </w:p>
          <w:p w14:paraId="58CA3DAE">
            <w:pPr>
              <w:adjustRightInd w:val="0"/>
              <w:snapToGrid w:val="0"/>
              <w:spacing w:line="360" w:lineRule="auto"/>
              <w:ind w:firstLine="560" w:firstLineChars="200"/>
              <w:rPr>
                <w:rFonts w:asciiTheme="minorEastAsia" w:hAnsiTheme="minorEastAsia" w:eastAsiaTheme="minorEastAsia" w:cstheme="minorEastAsia"/>
                <w:sz w:val="28"/>
                <w:szCs w:val="28"/>
              </w:rPr>
            </w:pPr>
          </w:p>
          <w:p w14:paraId="28241A7F">
            <w:pPr>
              <w:adjustRightInd w:val="0"/>
              <w:snapToGrid w:val="0"/>
              <w:spacing w:line="360" w:lineRule="auto"/>
              <w:rPr>
                <w:rFonts w:asciiTheme="minorEastAsia" w:hAnsiTheme="minorEastAsia" w:eastAsiaTheme="minorEastAsia" w:cstheme="minorEastAsia"/>
                <w:sz w:val="28"/>
                <w:szCs w:val="28"/>
              </w:rPr>
            </w:pPr>
            <w:bookmarkStart w:id="2" w:name="_GoBack"/>
            <w:bookmarkEnd w:id="2"/>
          </w:p>
          <w:p w14:paraId="4F100A6F">
            <w:pPr>
              <w:adjustRightInd w:val="0"/>
              <w:snapToGrid w:val="0"/>
              <w:spacing w:line="360" w:lineRule="auto"/>
              <w:ind w:firstLine="560" w:firstLineChars="200"/>
              <w:rPr>
                <w:rFonts w:asciiTheme="minorEastAsia" w:hAnsiTheme="minorEastAsia" w:eastAsiaTheme="minorEastAsia" w:cstheme="minorEastAsia"/>
                <w:sz w:val="28"/>
                <w:szCs w:val="28"/>
              </w:rPr>
            </w:pPr>
          </w:p>
          <w:p w14:paraId="5FBBB020">
            <w:pPr>
              <w:adjustRightInd w:val="0"/>
              <w:snapToGrid w:val="0"/>
              <w:spacing w:line="360" w:lineRule="auto"/>
              <w:ind w:firstLine="420" w:firstLineChars="200"/>
            </w:pPr>
          </w:p>
        </w:tc>
      </w:tr>
    </w:tbl>
    <w:p w14:paraId="5D4515BF">
      <w:pPr>
        <w:pStyle w:val="13"/>
        <w:ind w:firstLine="0"/>
      </w:pPr>
    </w:p>
    <w:sectPr>
      <w:footerReference r:id="rId3" w:type="default"/>
      <w:pgSz w:w="11906" w:h="16838"/>
      <w:pgMar w:top="1440" w:right="1803" w:bottom="1440" w:left="1803"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01"/>
    <w:family w:val="swiss"/>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modern"/>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A9948">
    <w:pPr>
      <w:pStyle w:val="5"/>
    </w:pPr>
    <w:r>
      <w:pict>
        <v:shape id="文本框 2"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4A6513A9">
                <w:pPr>
                  <w:pStyle w:val="5"/>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319"/>
  <w:displayHorizontalDrawingGridEvery w:val="2"/>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RiOTUwZWNmNWUyNWI3YjMzMzkyM2I2ZThhOWNhMTkifQ=="/>
  </w:docVars>
  <w:rsids>
    <w:rsidRoot w:val="00172A27"/>
    <w:rsid w:val="00011FAB"/>
    <w:rsid w:val="00172A27"/>
    <w:rsid w:val="00333B64"/>
    <w:rsid w:val="003E4C09"/>
    <w:rsid w:val="0049710D"/>
    <w:rsid w:val="00954C4C"/>
    <w:rsid w:val="00986C6B"/>
    <w:rsid w:val="0099731D"/>
    <w:rsid w:val="009D0E00"/>
    <w:rsid w:val="00B8390F"/>
    <w:rsid w:val="00D00D15"/>
    <w:rsid w:val="00F33BBE"/>
    <w:rsid w:val="01344706"/>
    <w:rsid w:val="01C731E3"/>
    <w:rsid w:val="03037C3F"/>
    <w:rsid w:val="041E6C5B"/>
    <w:rsid w:val="06406019"/>
    <w:rsid w:val="069A0E8B"/>
    <w:rsid w:val="09F204B1"/>
    <w:rsid w:val="0B532AE5"/>
    <w:rsid w:val="0B6B080E"/>
    <w:rsid w:val="0DF30934"/>
    <w:rsid w:val="0ED1008E"/>
    <w:rsid w:val="0FF404CF"/>
    <w:rsid w:val="10B61887"/>
    <w:rsid w:val="11CC6E78"/>
    <w:rsid w:val="125640B9"/>
    <w:rsid w:val="12CA1FCB"/>
    <w:rsid w:val="137300A2"/>
    <w:rsid w:val="142C30C9"/>
    <w:rsid w:val="1A612F68"/>
    <w:rsid w:val="1B1F82C4"/>
    <w:rsid w:val="1C777080"/>
    <w:rsid w:val="1CFD92E6"/>
    <w:rsid w:val="1E7A74F5"/>
    <w:rsid w:val="1F27318D"/>
    <w:rsid w:val="20F56DB4"/>
    <w:rsid w:val="21120619"/>
    <w:rsid w:val="22504320"/>
    <w:rsid w:val="25187744"/>
    <w:rsid w:val="254A6193"/>
    <w:rsid w:val="26307BB3"/>
    <w:rsid w:val="271061CB"/>
    <w:rsid w:val="28FF6563"/>
    <w:rsid w:val="29815CE6"/>
    <w:rsid w:val="29AB22CB"/>
    <w:rsid w:val="29BD9680"/>
    <w:rsid w:val="2A2E2FA6"/>
    <w:rsid w:val="2A2E3188"/>
    <w:rsid w:val="2B1D36B4"/>
    <w:rsid w:val="2B6708CF"/>
    <w:rsid w:val="2C7C109E"/>
    <w:rsid w:val="2DEE5864"/>
    <w:rsid w:val="2E1E3AD7"/>
    <w:rsid w:val="2E953B7B"/>
    <w:rsid w:val="320B54DE"/>
    <w:rsid w:val="32F339FC"/>
    <w:rsid w:val="32FB96F7"/>
    <w:rsid w:val="34791977"/>
    <w:rsid w:val="35E01A6F"/>
    <w:rsid w:val="37FFE6D6"/>
    <w:rsid w:val="39FA7CA4"/>
    <w:rsid w:val="3B3FA1C3"/>
    <w:rsid w:val="3B6E8A55"/>
    <w:rsid w:val="3B9B48E6"/>
    <w:rsid w:val="3BDB4745"/>
    <w:rsid w:val="3E276293"/>
    <w:rsid w:val="3E6F46EB"/>
    <w:rsid w:val="3ED929CE"/>
    <w:rsid w:val="3FBFBF5B"/>
    <w:rsid w:val="407C7054"/>
    <w:rsid w:val="41812653"/>
    <w:rsid w:val="43813A25"/>
    <w:rsid w:val="4389421A"/>
    <w:rsid w:val="47BA115C"/>
    <w:rsid w:val="48455675"/>
    <w:rsid w:val="4890058F"/>
    <w:rsid w:val="491964D9"/>
    <w:rsid w:val="4A691F0A"/>
    <w:rsid w:val="4C7E4FEC"/>
    <w:rsid w:val="4CA06CB9"/>
    <w:rsid w:val="4E663992"/>
    <w:rsid w:val="4E8F2977"/>
    <w:rsid w:val="4F9F6660"/>
    <w:rsid w:val="501452D5"/>
    <w:rsid w:val="515E5167"/>
    <w:rsid w:val="529C49EA"/>
    <w:rsid w:val="535864B7"/>
    <w:rsid w:val="53AA1EF8"/>
    <w:rsid w:val="53DC5129"/>
    <w:rsid w:val="54CB0514"/>
    <w:rsid w:val="55FF36F2"/>
    <w:rsid w:val="561D50CF"/>
    <w:rsid w:val="563947E5"/>
    <w:rsid w:val="56625644"/>
    <w:rsid w:val="56F75E6D"/>
    <w:rsid w:val="59AA0720"/>
    <w:rsid w:val="59D9E2C2"/>
    <w:rsid w:val="5AB65B98"/>
    <w:rsid w:val="5AD15F5B"/>
    <w:rsid w:val="5B3F01EC"/>
    <w:rsid w:val="5B8F5AD3"/>
    <w:rsid w:val="5BEA76D8"/>
    <w:rsid w:val="5BEDCDF8"/>
    <w:rsid w:val="5D14252A"/>
    <w:rsid w:val="5ED60BF2"/>
    <w:rsid w:val="5F2C2796"/>
    <w:rsid w:val="5F7B7C6F"/>
    <w:rsid w:val="5FDD403A"/>
    <w:rsid w:val="5FF8BC97"/>
    <w:rsid w:val="61761FA3"/>
    <w:rsid w:val="63BD6F09"/>
    <w:rsid w:val="63DB48E3"/>
    <w:rsid w:val="63FDA48A"/>
    <w:rsid w:val="64124018"/>
    <w:rsid w:val="66186126"/>
    <w:rsid w:val="6647401C"/>
    <w:rsid w:val="66F9A048"/>
    <w:rsid w:val="67A25A81"/>
    <w:rsid w:val="67D7D5C0"/>
    <w:rsid w:val="67F3B785"/>
    <w:rsid w:val="6A166EF7"/>
    <w:rsid w:val="6A8152A0"/>
    <w:rsid w:val="6AF8461A"/>
    <w:rsid w:val="6C2FBE65"/>
    <w:rsid w:val="6C92264A"/>
    <w:rsid w:val="6CBF46F0"/>
    <w:rsid w:val="6DBBD11A"/>
    <w:rsid w:val="6DE15905"/>
    <w:rsid w:val="6DFDD3F4"/>
    <w:rsid w:val="6EA97E5C"/>
    <w:rsid w:val="6EAF7534"/>
    <w:rsid w:val="6FBC4602"/>
    <w:rsid w:val="6FD43796"/>
    <w:rsid w:val="6FE6F5D0"/>
    <w:rsid w:val="6FFC7394"/>
    <w:rsid w:val="709E873E"/>
    <w:rsid w:val="70D02E31"/>
    <w:rsid w:val="727B7BC3"/>
    <w:rsid w:val="736BF93B"/>
    <w:rsid w:val="74131BD7"/>
    <w:rsid w:val="744D4505"/>
    <w:rsid w:val="747626FE"/>
    <w:rsid w:val="74F44FE0"/>
    <w:rsid w:val="75A44310"/>
    <w:rsid w:val="75C249E5"/>
    <w:rsid w:val="75EA9EC4"/>
    <w:rsid w:val="77B63E3F"/>
    <w:rsid w:val="77DF2A1B"/>
    <w:rsid w:val="77F02658"/>
    <w:rsid w:val="77F7193D"/>
    <w:rsid w:val="77FE3AD7"/>
    <w:rsid w:val="77FF1B1A"/>
    <w:rsid w:val="77FFC4AD"/>
    <w:rsid w:val="789460E0"/>
    <w:rsid w:val="78B875B2"/>
    <w:rsid w:val="7B0A3AED"/>
    <w:rsid w:val="7BDEFAF2"/>
    <w:rsid w:val="7BEF2676"/>
    <w:rsid w:val="7BF7669A"/>
    <w:rsid w:val="7CF40CC0"/>
    <w:rsid w:val="7DEADB76"/>
    <w:rsid w:val="7DF062FA"/>
    <w:rsid w:val="7DFCAA62"/>
    <w:rsid w:val="7E77F30B"/>
    <w:rsid w:val="7EC743AD"/>
    <w:rsid w:val="7EEF9797"/>
    <w:rsid w:val="7F4513DA"/>
    <w:rsid w:val="7FBF2C25"/>
    <w:rsid w:val="7FDD5813"/>
    <w:rsid w:val="7FEF3ADC"/>
    <w:rsid w:val="7FEF5A5F"/>
    <w:rsid w:val="7FEF6DF5"/>
    <w:rsid w:val="7FFDB6D5"/>
    <w:rsid w:val="7FFF860E"/>
    <w:rsid w:val="87FF91C2"/>
    <w:rsid w:val="95EFCAED"/>
    <w:rsid w:val="9FBACDAB"/>
    <w:rsid w:val="A3FA5CF5"/>
    <w:rsid w:val="ABDF41F0"/>
    <w:rsid w:val="ADFE911D"/>
    <w:rsid w:val="AED7C866"/>
    <w:rsid w:val="AFBA2007"/>
    <w:rsid w:val="B2BD8D0C"/>
    <w:rsid w:val="B4A511A6"/>
    <w:rsid w:val="B53BE801"/>
    <w:rsid w:val="B5FFE29D"/>
    <w:rsid w:val="B7EFE30E"/>
    <w:rsid w:val="B9C6095B"/>
    <w:rsid w:val="BA7B23C6"/>
    <w:rsid w:val="BBEE0CE5"/>
    <w:rsid w:val="BBEEE755"/>
    <w:rsid w:val="BD77B8C1"/>
    <w:rsid w:val="BDFB0E51"/>
    <w:rsid w:val="BFDF003D"/>
    <w:rsid w:val="BFDFAA83"/>
    <w:rsid w:val="BFFB2D01"/>
    <w:rsid w:val="C5F771C5"/>
    <w:rsid w:val="C9FB471B"/>
    <w:rsid w:val="CAE5EAC3"/>
    <w:rsid w:val="D1F78362"/>
    <w:rsid w:val="D52F78B1"/>
    <w:rsid w:val="D73FF1BC"/>
    <w:rsid w:val="D7DB45DC"/>
    <w:rsid w:val="DD37F195"/>
    <w:rsid w:val="DE6F85C7"/>
    <w:rsid w:val="DEDB8972"/>
    <w:rsid w:val="DEDCC300"/>
    <w:rsid w:val="DF3EA5AC"/>
    <w:rsid w:val="DF9FC5E0"/>
    <w:rsid w:val="DFED3BD9"/>
    <w:rsid w:val="DFF941EE"/>
    <w:rsid w:val="DFFF0282"/>
    <w:rsid w:val="ED1F9C89"/>
    <w:rsid w:val="EDAF998C"/>
    <w:rsid w:val="EFDF2069"/>
    <w:rsid w:val="F74E681F"/>
    <w:rsid w:val="F77FAFD7"/>
    <w:rsid w:val="F7DDA909"/>
    <w:rsid w:val="F7FDF6B8"/>
    <w:rsid w:val="F7FF12D7"/>
    <w:rsid w:val="F8EF9398"/>
    <w:rsid w:val="FB9F967B"/>
    <w:rsid w:val="FC2B4EF3"/>
    <w:rsid w:val="FC9FFB10"/>
    <w:rsid w:val="FDEE25E4"/>
    <w:rsid w:val="FDF704DC"/>
    <w:rsid w:val="FDFB055C"/>
    <w:rsid w:val="FDFF0838"/>
    <w:rsid w:val="FE2F2DC3"/>
    <w:rsid w:val="FEAF2840"/>
    <w:rsid w:val="FF9E0F0B"/>
    <w:rsid w:val="FFBB10BD"/>
    <w:rsid w:val="FFBBA5CE"/>
    <w:rsid w:val="FFBFA256"/>
    <w:rsid w:val="FFC96A5F"/>
    <w:rsid w:val="FFD8B8A0"/>
    <w:rsid w:val="FFE5CF4C"/>
    <w:rsid w:val="FFEE026D"/>
    <w:rsid w:val="FFFF6CF9"/>
    <w:rsid w:val="FFFF8B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uiPriority w:val="0"/>
    <w:pPr>
      <w:spacing w:before="1" w:line="360" w:lineRule="auto"/>
      <w:ind w:left="306" w:right="306" w:firstLine="567"/>
    </w:pPr>
    <w:rPr>
      <w:rFonts w:ascii="仿宋" w:hAnsi="仿宋" w:eastAsia="仿宋_GB2312" w:cs="仿宋"/>
      <w:spacing w:val="-1"/>
      <w:sz w:val="32"/>
      <w:szCs w:val="28"/>
      <w:lang w:val="zh-CN" w:bidi="zh-CN"/>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jc w:val="left"/>
    </w:pPr>
    <w:rPr>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styleId="12">
    <w:name w:val="page number"/>
    <w:basedOn w:val="10"/>
    <w:qFormat/>
    <w:uiPriority w:val="0"/>
  </w:style>
  <w:style w:type="paragraph" w:customStyle="1" w:styleId="13">
    <w:name w:val="样式 正文001 + 首行缩进:  2 字符1"/>
    <w:basedOn w:val="1"/>
    <w:qFormat/>
    <w:uiPriority w:val="0"/>
    <w:pPr>
      <w:spacing w:before="60" w:line="460" w:lineRule="exact"/>
      <w:ind w:firstLine="480"/>
    </w:pPr>
    <w:rPr>
      <w:rFonts w:hAnsi="宋体"/>
      <w:szCs w:val="22"/>
    </w:rPr>
  </w:style>
  <w:style w:type="paragraph" w:customStyle="1" w:styleId="14">
    <w:name w:val="表格内"/>
    <w:basedOn w:val="1"/>
    <w:qFormat/>
    <w:uiPriority w:val="99"/>
    <w:pPr>
      <w:spacing w:line="360" w:lineRule="exact"/>
      <w:jc w:val="center"/>
    </w:pPr>
    <w:rPr>
      <w:rFonts w:eastAsia="Times New Roman"/>
      <w:szCs w:val="21"/>
    </w:rPr>
  </w:style>
  <w:style w:type="character" w:customStyle="1" w:styleId="15">
    <w:name w:val="font01"/>
    <w:basedOn w:val="10"/>
    <w:qFormat/>
    <w:uiPriority w:val="0"/>
    <w:rPr>
      <w:rFonts w:hint="eastAsia" w:ascii="宋体" w:hAnsi="宋体" w:eastAsia="宋体" w:cs="宋体"/>
      <w:color w:val="000000"/>
      <w:sz w:val="24"/>
      <w:szCs w:val="24"/>
      <w:u w:val="none"/>
    </w:rPr>
  </w:style>
  <w:style w:type="character" w:customStyle="1" w:styleId="16">
    <w:name w:val="font21"/>
    <w:basedOn w:val="10"/>
    <w:qFormat/>
    <w:uiPriority w:val="0"/>
    <w:rPr>
      <w:rFonts w:hint="eastAsia" w:ascii="宋体" w:hAnsi="宋体" w:eastAsia="宋体" w:cs="宋体"/>
      <w:color w:val="000000"/>
      <w:sz w:val="24"/>
      <w:szCs w:val="24"/>
      <w:u w:val="none"/>
    </w:rPr>
  </w:style>
  <w:style w:type="character" w:customStyle="1" w:styleId="17">
    <w:name w:val="font11"/>
    <w:basedOn w:val="10"/>
    <w:qFormat/>
    <w:uiPriority w:val="0"/>
    <w:rPr>
      <w:rFonts w:hint="eastAsia" w:ascii="宋体" w:hAnsi="宋体" w:eastAsia="宋体" w:cs="宋体"/>
      <w:color w:val="000000"/>
      <w:sz w:val="22"/>
      <w:szCs w:val="22"/>
      <w:u w:val="none"/>
    </w:rPr>
  </w:style>
  <w:style w:type="character" w:customStyle="1" w:styleId="18">
    <w:name w:val="font41"/>
    <w:basedOn w:val="10"/>
    <w:qFormat/>
    <w:uiPriority w:val="0"/>
    <w:rPr>
      <w:rFonts w:hint="eastAsia" w:ascii="宋体" w:hAnsi="宋体" w:eastAsia="宋体" w:cs="宋体"/>
      <w:color w:val="000000"/>
      <w:sz w:val="24"/>
      <w:szCs w:val="24"/>
      <w:u w:val="none"/>
    </w:rPr>
  </w:style>
  <w:style w:type="character" w:customStyle="1" w:styleId="19">
    <w:name w:val="font31"/>
    <w:basedOn w:val="10"/>
    <w:qFormat/>
    <w:uiPriority w:val="0"/>
    <w:rPr>
      <w:rFonts w:hint="eastAsia" w:ascii="宋体" w:hAnsi="宋体" w:eastAsia="宋体" w:cs="宋体"/>
      <w:color w:val="000000"/>
      <w:sz w:val="22"/>
      <w:szCs w:val="22"/>
      <w:u w:val="none"/>
    </w:rPr>
  </w:style>
  <w:style w:type="paragraph" w:customStyle="1" w:styleId="20">
    <w:name w:val="设计   正文"/>
    <w:basedOn w:val="1"/>
    <w:link w:val="21"/>
    <w:qFormat/>
    <w:uiPriority w:val="0"/>
    <w:pPr>
      <w:spacing w:line="360" w:lineRule="auto"/>
      <w:ind w:firstLine="200" w:firstLineChars="200"/>
    </w:pPr>
    <w:rPr>
      <w:rFonts w:ascii="Times New Roman" w:hAnsi="Times New Roman" w:eastAsia="仿宋_GB2312"/>
      <w:sz w:val="28"/>
    </w:rPr>
  </w:style>
  <w:style w:type="character" w:customStyle="1" w:styleId="21">
    <w:name w:val="设计   正文 字符"/>
    <w:basedOn w:val="10"/>
    <w:link w:val="20"/>
    <w:qFormat/>
    <w:uiPriority w:val="0"/>
    <w:rPr>
      <w:rFonts w:eastAsia="仿宋_GB2312"/>
      <w:kern w:val="2"/>
      <w:sz w:val="2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2002</Words>
  <Characters>586</Characters>
  <Lines>4</Lines>
  <Paragraphs>5</Paragraphs>
  <TotalTime>0</TotalTime>
  <ScaleCrop>false</ScaleCrop>
  <LinksUpToDate>false</LinksUpToDate>
  <CharactersWithSpaces>2583</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2023-10-25T09:20:00Z</dcterms:created>
  <dc:creator>Administrator</dc:creator>
  <cp:lastModifiedBy>Wen</cp:lastModifiedBy>
  <cp:lastPrinted>2023-08-04T01:27:00Z</cp:lastPrinted>
  <dcterms:modified xsi:type="dcterms:W3CDTF">2024-09-25T09:04:00Z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ECFADEFEB48E7539ED6B8A642012E5D4</vt:lpwstr>
  </property>
</Properties>
</file>