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color w:val="auto"/>
          <w:sz w:val="48"/>
          <w:szCs w:val="4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color w:val="auto"/>
          <w:sz w:val="44"/>
          <w:szCs w:val="44"/>
          <w:lang w:val="en-US" w:eastAsia="zh-CN"/>
        </w:rPr>
      </w:pPr>
      <w:r>
        <w:rPr>
          <w:rFonts w:hint="eastAsia" w:asciiTheme="minorEastAsia" w:hAnsiTheme="minorEastAsia" w:eastAsiaTheme="minorEastAsia" w:cstheme="minorEastAsia"/>
          <w:b w:val="0"/>
          <w:bCs w:val="0"/>
          <w:color w:val="auto"/>
          <w:sz w:val="44"/>
          <w:szCs w:val="44"/>
          <w:lang w:val="en-US" w:eastAsia="zh-CN"/>
        </w:rPr>
        <w:t>新林区黑龙沟砂金过采区</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color w:val="auto"/>
          <w:sz w:val="44"/>
          <w:szCs w:val="44"/>
          <w:lang w:val="en-US" w:eastAsia="zh-CN"/>
        </w:rPr>
      </w:pPr>
      <w:r>
        <w:rPr>
          <w:rFonts w:hint="eastAsia" w:asciiTheme="minorEastAsia" w:hAnsiTheme="minorEastAsia" w:eastAsiaTheme="minorEastAsia" w:cstheme="minorEastAsia"/>
          <w:b w:val="0"/>
          <w:bCs w:val="0"/>
          <w:color w:val="auto"/>
          <w:sz w:val="44"/>
          <w:szCs w:val="44"/>
          <w:lang w:val="en-US" w:eastAsia="zh-CN"/>
        </w:rPr>
        <w:t>历史遗留废弃矿山图斑自然修复</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heme="minorEastAsia" w:hAnsiTheme="minorEastAsia" w:eastAsiaTheme="minorEastAsia" w:cstheme="minorEastAsia"/>
          <w:b w:val="0"/>
          <w:bCs w:val="0"/>
          <w:color w:val="auto"/>
          <w:sz w:val="44"/>
          <w:szCs w:val="44"/>
          <w:lang w:val="en-US" w:eastAsia="zh-CN"/>
        </w:rPr>
      </w:pPr>
      <w:r>
        <w:rPr>
          <w:rFonts w:hint="eastAsia" w:asciiTheme="minorEastAsia" w:hAnsiTheme="minorEastAsia" w:eastAsiaTheme="minorEastAsia" w:cstheme="minorEastAsia"/>
          <w:b w:val="0"/>
          <w:bCs w:val="0"/>
          <w:color w:val="auto"/>
          <w:sz w:val="44"/>
          <w:szCs w:val="44"/>
          <w:lang w:val="en-US" w:eastAsia="zh-CN"/>
        </w:rPr>
        <w:t>验收认定意见书</w:t>
      </w:r>
    </w:p>
    <w:p>
      <w:pPr>
        <w:bidi w:val="0"/>
        <w:jc w:val="center"/>
        <w:rPr>
          <w:rFonts w:hint="default" w:asciiTheme="minorEastAsia" w:hAnsiTheme="minorEastAsia" w:eastAsiaTheme="minorEastAsia" w:cstheme="minorEastAsia"/>
          <w:b w:val="0"/>
          <w:bCs w:val="0"/>
          <w:color w:val="auto"/>
          <w:sz w:val="32"/>
          <w:szCs w:val="32"/>
          <w:lang w:val="en-US"/>
        </w:rPr>
      </w:pPr>
      <w:r>
        <w:rPr>
          <w:rFonts w:hint="eastAsia" w:asciiTheme="minorEastAsia" w:hAnsiTheme="minorEastAsia" w:eastAsiaTheme="minorEastAsia" w:cstheme="minorEastAsia"/>
          <w:b w:val="0"/>
          <w:bCs w:val="0"/>
          <w:color w:val="auto"/>
          <w:sz w:val="32"/>
          <w:szCs w:val="32"/>
          <w:lang w:val="en-US" w:eastAsia="zh-CN"/>
        </w:rPr>
        <w:t>（CT2327032016000048001—2图斑）</w:t>
      </w: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pPr>
        <w:bidi w:val="0"/>
        <w:rPr>
          <w:rFonts w:hint="eastAsia" w:asciiTheme="minorEastAsia" w:hAnsiTheme="minorEastAsia" w:eastAsiaTheme="minorEastAsia" w:cstheme="minorEastAsia"/>
          <w:b w:val="0"/>
          <w:bCs w:val="0"/>
          <w:color w:val="auto"/>
          <w:sz w:val="32"/>
          <w:szCs w:val="32"/>
        </w:rPr>
      </w:pP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p>
    <w:p>
      <w:pPr>
        <w:bidi w:val="0"/>
        <w:rPr>
          <w:rFonts w:hint="eastAsia" w:asciiTheme="minorEastAsia" w:hAnsiTheme="minorEastAsia" w:eastAsiaTheme="minorEastAsia" w:cstheme="minorEastAsia"/>
          <w:b w:val="0"/>
          <w:bCs w:val="0"/>
          <w:color w:val="auto"/>
          <w:sz w:val="32"/>
          <w:szCs w:val="32"/>
        </w:rPr>
      </w:pPr>
    </w:p>
    <w:p>
      <w:pPr>
        <w:pStyle w:val="4"/>
        <w:rPr>
          <w:rFonts w:hint="eastAsia"/>
        </w:rPr>
      </w:pPr>
    </w:p>
    <w:p>
      <w:pPr>
        <w:pStyle w:val="4"/>
        <w:rPr>
          <w:rFonts w:hint="eastAsia"/>
          <w:b w:val="0"/>
          <w:bCs w:val="0"/>
          <w:color w:val="auto"/>
        </w:rPr>
      </w:pPr>
    </w:p>
    <w:p>
      <w:pPr>
        <w:bidi w:val="0"/>
        <w:rPr>
          <w:rFonts w:hint="eastAsia" w:asciiTheme="minorEastAsia" w:hAnsiTheme="minorEastAsia" w:eastAsiaTheme="minorEastAsia" w:cstheme="minorEastAsia"/>
          <w:b w:val="0"/>
          <w:bCs w:val="0"/>
          <w:color w:val="auto"/>
          <w:sz w:val="32"/>
          <w:szCs w:val="32"/>
        </w:rPr>
      </w:pPr>
    </w:p>
    <w:p>
      <w:pPr>
        <w:bidi w:val="0"/>
        <w:jc w:val="center"/>
        <w:rPr>
          <w:rFonts w:hint="eastAsia" w:asciiTheme="minorEastAsia" w:hAnsiTheme="minorEastAsia" w:eastAsiaTheme="minorEastAsia" w:cstheme="minorEastAsia"/>
          <w:b w:val="0"/>
          <w:bCs w:val="0"/>
          <w:color w:val="auto"/>
          <w:sz w:val="32"/>
          <w:szCs w:val="32"/>
        </w:rPr>
      </w:pPr>
      <w:r>
        <w:rPr>
          <w:rFonts w:hint="eastAsia" w:asciiTheme="minorEastAsia" w:hAnsiTheme="minorEastAsia" w:eastAsiaTheme="minorEastAsia" w:cstheme="minorEastAsia"/>
          <w:b w:val="0"/>
          <w:bCs w:val="0"/>
          <w:color w:val="auto"/>
          <w:sz w:val="32"/>
          <w:szCs w:val="32"/>
          <w:lang w:val="en-US" w:eastAsia="zh-CN"/>
        </w:rPr>
        <w:t>大兴安岭地区行政公署自然资源局</w:t>
      </w:r>
    </w:p>
    <w:p>
      <w:pPr>
        <w:bidi w:val="0"/>
        <w:jc w:val="center"/>
        <w:rPr>
          <w:rFonts w:hint="eastAsia" w:asciiTheme="minorEastAsia" w:hAnsiTheme="minorEastAsia" w:eastAsiaTheme="minorEastAsia" w:cstheme="minorEastAsia"/>
          <w:b w:val="0"/>
          <w:bCs w:val="0"/>
          <w:color w:val="auto"/>
          <w:sz w:val="32"/>
          <w:szCs w:val="32"/>
        </w:rPr>
      </w:pPr>
      <w:r>
        <w:rPr>
          <w:rFonts w:hint="eastAsia" w:asciiTheme="minorEastAsia" w:hAnsiTheme="minorEastAsia" w:eastAsiaTheme="minorEastAsia" w:cstheme="minorEastAsia"/>
          <w:b w:val="0"/>
          <w:bCs w:val="0"/>
          <w:color w:val="auto"/>
          <w:sz w:val="32"/>
          <w:szCs w:val="32"/>
          <w:lang w:val="en-US" w:eastAsia="zh-CN"/>
        </w:rPr>
        <w:t>2024</w:t>
      </w:r>
      <w:r>
        <w:rPr>
          <w:rFonts w:hint="eastAsia" w:asciiTheme="minorEastAsia" w:hAnsiTheme="minorEastAsia" w:eastAsiaTheme="minorEastAsia" w:cstheme="minorEastAsia"/>
          <w:b w:val="0"/>
          <w:bCs w:val="0"/>
          <w:color w:val="auto"/>
          <w:sz w:val="32"/>
          <w:szCs w:val="32"/>
        </w:rPr>
        <w:t>年</w:t>
      </w:r>
      <w:r>
        <w:rPr>
          <w:rFonts w:hint="eastAsia" w:asciiTheme="minorEastAsia" w:hAnsiTheme="minorEastAsia" w:eastAsiaTheme="minorEastAsia" w:cstheme="minorEastAsia"/>
          <w:b w:val="0"/>
          <w:bCs w:val="0"/>
          <w:color w:val="auto"/>
          <w:sz w:val="32"/>
          <w:szCs w:val="32"/>
          <w:lang w:val="en-US" w:eastAsia="zh-CN"/>
        </w:rPr>
        <w:t>9</w:t>
      </w:r>
      <w:r>
        <w:rPr>
          <w:rFonts w:hint="eastAsia" w:asciiTheme="minorEastAsia" w:hAnsiTheme="minorEastAsia" w:eastAsiaTheme="minorEastAsia" w:cstheme="minorEastAsia"/>
          <w:b w:val="0"/>
          <w:bCs w:val="0"/>
          <w:color w:val="auto"/>
          <w:sz w:val="32"/>
          <w:szCs w:val="32"/>
        </w:rPr>
        <w:t>月</w:t>
      </w:r>
      <w:r>
        <w:rPr>
          <w:rFonts w:hint="eastAsia" w:asciiTheme="minorEastAsia" w:hAnsiTheme="minorEastAsia" w:eastAsiaTheme="minorEastAsia" w:cstheme="minorEastAsia"/>
          <w:b w:val="0"/>
          <w:bCs w:val="0"/>
          <w:color w:val="auto"/>
          <w:sz w:val="32"/>
          <w:szCs w:val="32"/>
          <w:lang w:val="en-US" w:eastAsia="zh-CN"/>
        </w:rPr>
        <w:t>19</w:t>
      </w:r>
      <w:r>
        <w:rPr>
          <w:rFonts w:hint="eastAsia" w:asciiTheme="minorEastAsia" w:hAnsiTheme="minorEastAsia" w:eastAsiaTheme="minorEastAsia" w:cstheme="minorEastAsia"/>
          <w:b w:val="0"/>
          <w:bCs w:val="0"/>
          <w:color w:val="auto"/>
          <w:sz w:val="32"/>
          <w:szCs w:val="32"/>
        </w:rPr>
        <w:t>日</w:t>
      </w: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r>
        <w:rPr>
          <w:rFonts w:hint="eastAsia" w:asciiTheme="minorEastAsia" w:hAnsiTheme="minorEastAsia" w:eastAsiaTheme="minorEastAsia" w:cstheme="minorEastAsia"/>
          <w:b w:val="0"/>
          <w:bCs w:val="0"/>
          <w:color w:val="auto"/>
          <w:sz w:val="32"/>
          <w:szCs w:val="32"/>
        </w:rPr>
        <w:t>           </w:t>
      </w:r>
    </w:p>
    <w:p>
      <w:pPr>
        <w:bidi w:val="0"/>
        <w:ind w:left="1058" w:leftChars="504" w:firstLine="0" w:firstLineChars="0"/>
        <w:rPr>
          <w:rFonts w:hint="eastAsia" w:asciiTheme="minorEastAsia" w:hAnsiTheme="minorEastAsia" w:eastAsiaTheme="minorEastAsia" w:cstheme="minorEastAsia"/>
          <w:b w:val="0"/>
          <w:bCs w:val="0"/>
          <w:color w:val="auto"/>
          <w:sz w:val="32"/>
          <w:szCs w:val="32"/>
        </w:rPr>
      </w:pPr>
    </w:p>
    <w:tbl>
      <w:tblPr>
        <w:tblStyle w:val="8"/>
        <w:tblW w:w="8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8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66" w:hRule="atLeast"/>
          <w:jc w:val="center"/>
        </w:trPr>
        <w:tc>
          <w:tcPr>
            <w:tcW w:w="8511" w:type="dxa"/>
            <w:tcBorders>
              <w:tl2br w:val="nil"/>
              <w:tr2bl w:val="nil"/>
            </w:tcBorders>
            <w:shd w:val="clear" w:color="auto" w:fill="FFFFFF"/>
            <w:noWrap w:val="0"/>
            <w:tcMar>
              <w:top w:w="12" w:type="dxa"/>
              <w:left w:w="12" w:type="dxa"/>
              <w:bottom w:w="0" w:type="dxa"/>
              <w:right w:w="12" w:type="dxa"/>
            </w:tcMar>
            <w:vAlign w:val="center"/>
          </w:tcPr>
          <w:p>
            <w:pPr>
              <w:bidi w:val="0"/>
              <w:jc w:val="center"/>
              <w:rPr>
                <w:rFonts w:hint="eastAsia" w:asciiTheme="minorEastAsia" w:hAnsiTheme="minorEastAsia" w:eastAsiaTheme="minorEastAsia" w:cstheme="minorEastAsia"/>
                <w:b w:val="0"/>
                <w:bCs w:val="0"/>
                <w:color w:val="auto"/>
                <w:kern w:val="2"/>
                <w:sz w:val="28"/>
                <w:szCs w:val="28"/>
                <w:lang w:val="en-US" w:eastAsia="zh-CN" w:bidi="ar-SA"/>
              </w:rPr>
            </w:pPr>
            <w:r>
              <w:rPr>
                <w:rFonts w:hint="eastAsia" w:ascii="宋体" w:hAnsi="宋体" w:eastAsia="宋体" w:cs="宋体"/>
                <w:b/>
                <w:bCs/>
                <w:kern w:val="2"/>
                <w:sz w:val="32"/>
                <w:szCs w:val="32"/>
                <w:lang w:val="en-US" w:eastAsia="zh-CN" w:bidi="ar-SA"/>
              </w:rPr>
              <w:t>验收</w:t>
            </w:r>
            <w:r>
              <w:rPr>
                <w:rFonts w:hint="eastAsia" w:ascii="宋体" w:hAnsi="宋体" w:cs="宋体"/>
                <w:b/>
                <w:bCs/>
                <w:kern w:val="2"/>
                <w:sz w:val="32"/>
                <w:szCs w:val="32"/>
                <w:lang w:val="en-US" w:eastAsia="zh-CN" w:bidi="ar-SA"/>
              </w:rPr>
              <w:t>认定</w:t>
            </w:r>
            <w:r>
              <w:rPr>
                <w:rFonts w:hint="eastAsia" w:ascii="宋体" w:hAnsi="宋体" w:eastAsia="宋体" w:cs="宋体"/>
                <w:b/>
                <w:bCs/>
                <w:kern w:val="2"/>
                <w:sz w:val="32"/>
                <w:szCs w:val="32"/>
                <w:lang w:val="en-US" w:eastAsia="zh-CN" w:bidi="ar-SA"/>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29" w:hRule="atLeast"/>
          <w:jc w:val="center"/>
        </w:trPr>
        <w:tc>
          <w:tcPr>
            <w:tcW w:w="8511" w:type="dxa"/>
            <w:tcBorders>
              <w:tl2br w:val="nil"/>
              <w:tr2bl w:val="nil"/>
            </w:tcBorders>
            <w:shd w:val="clear" w:color="auto" w:fill="FFFFFF"/>
            <w:noWrap w:val="0"/>
            <w:tcMar>
              <w:top w:w="12" w:type="dxa"/>
              <w:left w:w="12" w:type="dxa"/>
              <w:bottom w:w="0" w:type="dxa"/>
              <w:right w:w="12" w:type="dxa"/>
            </w:tcMar>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一、验收组织情况</w:t>
            </w:r>
            <w:r>
              <w:rPr>
                <w:rFonts w:hint="default" w:asciiTheme="minorEastAsia" w:hAnsiTheme="minorEastAsia" w:eastAsiaTheme="minorEastAsia" w:cstheme="minorEastAsia"/>
                <w:b/>
                <w:bCs/>
                <w:color w:val="auto"/>
                <w:sz w:val="28"/>
                <w:szCs w:val="28"/>
                <w:lang w:val="en-US" w:eastAsia="zh-CN"/>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Hans" w:bidi="ar"/>
              </w:rPr>
              <w:t>20</w:t>
            </w:r>
            <w:r>
              <w:rPr>
                <w:rFonts w:hint="default" w:ascii="宋体" w:hAnsi="宋体" w:eastAsia="宋体" w:cs="宋体"/>
                <w:color w:val="000000"/>
                <w:kern w:val="0"/>
                <w:sz w:val="28"/>
                <w:szCs w:val="28"/>
                <w:lang w:val="en-US" w:eastAsia="zh-Hans" w:bidi="ar"/>
              </w:rPr>
              <w:t>2</w:t>
            </w:r>
            <w:r>
              <w:rPr>
                <w:rFonts w:hint="eastAsia" w:ascii="宋体" w:hAnsi="宋体" w:eastAsia="宋体" w:cs="宋体"/>
                <w:color w:val="000000"/>
                <w:kern w:val="0"/>
                <w:sz w:val="28"/>
                <w:szCs w:val="28"/>
                <w:lang w:val="en-US" w:eastAsia="zh-CN" w:bidi="ar"/>
              </w:rPr>
              <w:t>4</w:t>
            </w:r>
            <w:r>
              <w:rPr>
                <w:rFonts w:hint="eastAsia" w:ascii="宋体" w:hAnsi="宋体" w:eastAsia="宋体" w:cs="宋体"/>
                <w:color w:val="000000"/>
                <w:kern w:val="0"/>
                <w:sz w:val="28"/>
                <w:szCs w:val="28"/>
                <w:lang w:val="en-US" w:eastAsia="zh-Hans" w:bidi="ar"/>
              </w:rPr>
              <w:t>年</w:t>
            </w:r>
            <w:r>
              <w:rPr>
                <w:rFonts w:hint="eastAsia" w:ascii="宋体" w:hAnsi="宋体" w:eastAsia="宋体" w:cs="宋体"/>
                <w:color w:val="000000"/>
                <w:kern w:val="0"/>
                <w:sz w:val="28"/>
                <w:szCs w:val="28"/>
                <w:lang w:val="en-US" w:eastAsia="zh-CN" w:bidi="ar"/>
              </w:rPr>
              <w:t>9</w:t>
            </w:r>
            <w:r>
              <w:rPr>
                <w:rFonts w:hint="eastAsia" w:ascii="宋体" w:hAnsi="宋体" w:eastAsia="宋体" w:cs="宋体"/>
                <w:color w:val="000000"/>
                <w:kern w:val="0"/>
                <w:sz w:val="28"/>
                <w:szCs w:val="28"/>
                <w:lang w:val="en-US" w:eastAsia="zh-Hans" w:bidi="ar"/>
              </w:rPr>
              <w:t>月</w:t>
            </w:r>
            <w:r>
              <w:rPr>
                <w:rFonts w:hint="eastAsia" w:ascii="宋体" w:hAnsi="宋体" w:eastAsia="宋体" w:cs="宋体"/>
                <w:color w:val="000000"/>
                <w:kern w:val="0"/>
                <w:sz w:val="28"/>
                <w:szCs w:val="28"/>
                <w:lang w:val="en-US" w:eastAsia="zh-CN" w:bidi="ar"/>
              </w:rPr>
              <w:t>18—19</w:t>
            </w:r>
            <w:r>
              <w:rPr>
                <w:rFonts w:hint="eastAsia" w:ascii="宋体" w:hAnsi="宋体" w:eastAsia="宋体" w:cs="宋体"/>
                <w:color w:val="000000"/>
                <w:kern w:val="0"/>
                <w:sz w:val="28"/>
                <w:szCs w:val="28"/>
                <w:lang w:val="en-US" w:eastAsia="zh-Hans" w:bidi="ar"/>
              </w:rPr>
              <w:t>日</w:t>
            </w:r>
            <w:r>
              <w:rPr>
                <w:rFonts w:hint="eastAsia" w:ascii="宋体" w:hAnsi="宋体" w:eastAsia="宋体" w:cs="宋体"/>
                <w:color w:val="000000"/>
                <w:kern w:val="0"/>
                <w:sz w:val="28"/>
                <w:szCs w:val="28"/>
                <w:lang w:val="en-US" w:eastAsia="zh-CN" w:bidi="ar"/>
              </w:rPr>
              <w:t>大兴安岭地区行政公署自然资源局</w:t>
            </w:r>
            <w:r>
              <w:rPr>
                <w:rFonts w:hint="eastAsia" w:ascii="宋体" w:hAnsi="宋体" w:eastAsia="宋体" w:cs="宋体"/>
                <w:color w:val="000000"/>
                <w:kern w:val="0"/>
                <w:sz w:val="28"/>
                <w:szCs w:val="28"/>
                <w:lang w:val="en-US" w:eastAsia="zh-Hans" w:bidi="ar"/>
              </w:rPr>
              <w:t>组织专家组（名单附后）</w:t>
            </w:r>
            <w:r>
              <w:rPr>
                <w:rFonts w:hint="eastAsia" w:ascii="宋体" w:hAnsi="宋体" w:eastAsia="宋体" w:cs="宋体"/>
                <w:color w:val="000000"/>
                <w:kern w:val="0"/>
                <w:sz w:val="28"/>
                <w:szCs w:val="28"/>
                <w:lang w:val="en-US" w:eastAsia="zh-CN" w:bidi="ar"/>
              </w:rPr>
              <w:t>在新林区，对富林黑龙沟砂金过采区历史遗留废弃矿山自然修复图斑进行验收，图斑编号CT2327032016000048001，总面积为</w:t>
            </w:r>
            <w:r>
              <w:rPr>
                <w:rFonts w:hint="default" w:ascii="宋体" w:hAnsi="宋体" w:eastAsia="宋体" w:cs="宋体"/>
                <w:color w:val="000000"/>
                <w:kern w:val="0"/>
                <w:sz w:val="28"/>
                <w:szCs w:val="28"/>
                <w:lang w:val="en-US" w:eastAsia="zh-CN" w:bidi="ar"/>
              </w:rPr>
              <w:t>455.02公顷</w:t>
            </w:r>
            <w:r>
              <w:rPr>
                <w:rFonts w:hint="eastAsia" w:ascii="宋体" w:hAnsi="宋体" w:eastAsia="宋体" w:cs="宋体"/>
                <w:color w:val="000000"/>
                <w:kern w:val="0"/>
                <w:sz w:val="28"/>
                <w:szCs w:val="28"/>
                <w:lang w:val="en-US" w:eastAsia="zh-CN" w:bidi="ar"/>
              </w:rPr>
              <w:t>。其中2023年10月验收面</w:t>
            </w:r>
            <w:r>
              <w:rPr>
                <w:rFonts w:hint="default" w:ascii="宋体" w:hAnsi="宋体" w:eastAsia="宋体" w:cs="宋体"/>
                <w:color w:val="000000"/>
                <w:kern w:val="0"/>
                <w:sz w:val="28"/>
                <w:szCs w:val="28"/>
                <w:lang w:val="en-US" w:eastAsia="zh-CN" w:bidi="ar"/>
              </w:rPr>
              <w:t>积261.00公顷</w:t>
            </w:r>
            <w:r>
              <w:rPr>
                <w:rFonts w:hint="eastAsia" w:ascii="宋体" w:hAnsi="宋体" w:eastAsia="宋体" w:cs="宋体"/>
                <w:color w:val="000000"/>
                <w:kern w:val="0"/>
                <w:sz w:val="28"/>
                <w:szCs w:val="28"/>
                <w:lang w:val="en-US" w:eastAsia="zh-CN" w:bidi="ar"/>
              </w:rPr>
              <w:t>，编号记录为CT2327032016000048001—1；本次申请验收面积为</w:t>
            </w:r>
            <w:r>
              <w:rPr>
                <w:rFonts w:hint="default" w:ascii="宋体" w:hAnsi="宋体" w:eastAsia="宋体" w:cs="宋体"/>
                <w:color w:val="000000"/>
                <w:kern w:val="0"/>
                <w:sz w:val="28"/>
                <w:szCs w:val="28"/>
                <w:lang w:val="en-US" w:eastAsia="zh-CN" w:bidi="ar"/>
              </w:rPr>
              <w:t>19</w:t>
            </w:r>
            <w:r>
              <w:rPr>
                <w:rFonts w:hint="default" w:ascii="宋体" w:hAnsi="宋体" w:eastAsia="宋体" w:cs="宋体"/>
                <w:color w:val="000000"/>
                <w:kern w:val="0"/>
                <w:sz w:val="28"/>
                <w:szCs w:val="28"/>
                <w:lang w:eastAsia="zh-CN" w:bidi="ar"/>
              </w:rPr>
              <w:t>5</w:t>
            </w:r>
            <w:r>
              <w:rPr>
                <w:rFonts w:hint="default" w:ascii="宋体" w:hAnsi="宋体" w:eastAsia="宋体" w:cs="宋体"/>
                <w:color w:val="000000"/>
                <w:kern w:val="0"/>
                <w:sz w:val="28"/>
                <w:szCs w:val="28"/>
                <w:lang w:val="en-US" w:eastAsia="zh-CN" w:bidi="ar"/>
              </w:rPr>
              <w:t>.02公顷</w:t>
            </w:r>
            <w:r>
              <w:rPr>
                <w:rFonts w:hint="eastAsia" w:ascii="宋体" w:hAnsi="宋体" w:eastAsia="宋体" w:cs="宋体"/>
                <w:color w:val="000000"/>
                <w:kern w:val="0"/>
                <w:sz w:val="28"/>
                <w:szCs w:val="28"/>
                <w:lang w:val="en-US" w:eastAsia="zh-CN" w:bidi="ar"/>
              </w:rPr>
              <w:t>，编号记录为CT2327032016000048001—2。</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Hans"/>
              </w:rPr>
            </w:pPr>
            <w:r>
              <w:rPr>
                <w:rFonts w:hint="eastAsia" w:asciiTheme="minorEastAsia" w:hAnsiTheme="minorEastAsia" w:eastAsiaTheme="minorEastAsia" w:cstheme="minorEastAsia"/>
                <w:b w:val="0"/>
                <w:bCs w:val="0"/>
                <w:color w:val="auto"/>
                <w:sz w:val="28"/>
                <w:szCs w:val="28"/>
                <w:lang w:val="en-US" w:eastAsia="zh-Hans"/>
              </w:rPr>
              <w:t>验收工作依据</w:t>
            </w:r>
            <w:r>
              <w:rPr>
                <w:rFonts w:ascii="Times New Roman" w:hAnsi="Times New Roman"/>
                <w:sz w:val="28"/>
                <w:szCs w:val="28"/>
              </w:rPr>
              <w:t>《自然资源部办公厅关于开展历史遗留矿山图斑变更核查的通知》（2023年3月28日）和黑龙江省自然资源厅</w:t>
            </w:r>
            <w:r>
              <w:rPr>
                <w:rFonts w:hint="eastAsia" w:ascii="Times New Roman" w:hAnsi="Times New Roman"/>
                <w:sz w:val="28"/>
                <w:szCs w:val="28"/>
                <w:lang w:val="en-US" w:eastAsia="zh-CN"/>
              </w:rPr>
              <w:t>和</w:t>
            </w:r>
            <w:r>
              <w:rPr>
                <w:rFonts w:hint="eastAsia" w:asciiTheme="minorEastAsia" w:hAnsiTheme="minorEastAsia" w:eastAsiaTheme="minorEastAsia" w:cstheme="minorEastAsia"/>
                <w:b w:val="0"/>
                <w:bCs w:val="0"/>
                <w:color w:val="auto"/>
                <w:sz w:val="28"/>
                <w:szCs w:val="28"/>
                <w:lang w:val="en-US" w:eastAsia="zh-CN"/>
              </w:rPr>
              <w:t>黑龙江省自然资源厅、黑龙江省生态环境厅、黑龙江省林业和草原局文件</w:t>
            </w:r>
            <w:r>
              <w:rPr>
                <w:rFonts w:hint="eastAsia" w:asciiTheme="minorEastAsia" w:hAnsiTheme="minorEastAsia" w:eastAsiaTheme="minorEastAsia" w:cstheme="minorEastAsia"/>
                <w:b w:val="0"/>
                <w:bCs w:val="0"/>
                <w:color w:val="auto"/>
                <w:sz w:val="28"/>
                <w:szCs w:val="28"/>
                <w:lang w:val="en-US" w:eastAsia="zh-Hans"/>
              </w:rPr>
              <w:t>（黑</w:t>
            </w:r>
            <w:r>
              <w:rPr>
                <w:rFonts w:hint="eastAsia" w:asciiTheme="minorEastAsia" w:hAnsiTheme="minorEastAsia" w:eastAsiaTheme="minorEastAsia" w:cstheme="minorEastAsia"/>
                <w:b w:val="0"/>
                <w:bCs w:val="0"/>
                <w:color w:val="auto"/>
                <w:sz w:val="28"/>
                <w:szCs w:val="28"/>
                <w:lang w:val="en-US" w:eastAsia="zh-CN"/>
              </w:rPr>
              <w:t>自然</w:t>
            </w:r>
            <w:r>
              <w:rPr>
                <w:rFonts w:hint="eastAsia" w:asciiTheme="minorEastAsia" w:hAnsiTheme="minorEastAsia" w:eastAsiaTheme="minorEastAsia" w:cstheme="minorEastAsia"/>
                <w:b w:val="0"/>
                <w:bCs w:val="0"/>
                <w:color w:val="auto"/>
                <w:sz w:val="28"/>
                <w:szCs w:val="28"/>
                <w:lang w:val="en-US" w:eastAsia="zh-Hans"/>
              </w:rPr>
              <w:t>资[20</w:t>
            </w:r>
            <w:r>
              <w:rPr>
                <w:rFonts w:hint="eastAsia" w:asciiTheme="minorEastAsia" w:hAnsiTheme="minorEastAsia" w:eastAsiaTheme="minorEastAsia" w:cstheme="minorEastAsia"/>
                <w:b w:val="0"/>
                <w:bCs w:val="0"/>
                <w:color w:val="auto"/>
                <w:sz w:val="28"/>
                <w:szCs w:val="28"/>
                <w:lang w:val="en-US" w:eastAsia="zh-CN"/>
              </w:rPr>
              <w:t>23</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34</w:t>
            </w:r>
            <w:r>
              <w:rPr>
                <w:rFonts w:hint="eastAsia" w:asciiTheme="minorEastAsia" w:hAnsiTheme="minorEastAsia" w:eastAsiaTheme="minorEastAsia" w:cstheme="minorEastAsia"/>
                <w:b w:val="0"/>
                <w:bCs w:val="0"/>
                <w:color w:val="auto"/>
                <w:sz w:val="28"/>
                <w:szCs w:val="28"/>
                <w:lang w:val="en-US" w:eastAsia="zh-Hans"/>
              </w:rPr>
              <w:t>号）</w:t>
            </w:r>
            <w:r>
              <w:rPr>
                <w:rFonts w:hint="eastAsia" w:asciiTheme="minorEastAsia" w:hAnsiTheme="minorEastAsia" w:eastAsiaTheme="minorEastAsia" w:cstheme="minorEastAsia"/>
                <w:b w:val="0"/>
                <w:bCs w:val="0"/>
                <w:color w:val="auto"/>
                <w:sz w:val="28"/>
                <w:szCs w:val="28"/>
                <w:lang w:val="en-US" w:eastAsia="zh-CN"/>
              </w:rPr>
              <w:t>关于印发《黑龙江省历史遗留矿山生态修复验收管理办法（试行）》（简称管理办法）的</w:t>
            </w:r>
            <w:r>
              <w:rPr>
                <w:rFonts w:hint="eastAsia" w:asciiTheme="minorEastAsia" w:hAnsiTheme="minorEastAsia" w:eastAsiaTheme="minorEastAsia" w:cstheme="minorEastAsia"/>
                <w:b w:val="0"/>
                <w:bCs w:val="0"/>
                <w:color w:val="auto"/>
                <w:sz w:val="28"/>
                <w:szCs w:val="28"/>
                <w:lang w:val="en-US" w:eastAsia="zh-Hans"/>
              </w:rPr>
              <w:t>通知</w:t>
            </w:r>
            <w:r>
              <w:rPr>
                <w:rFonts w:hint="eastAsia" w:asciiTheme="minorEastAsia" w:hAnsiTheme="minorEastAsia" w:eastAsiaTheme="minorEastAsia" w:cstheme="minorEastAsia"/>
                <w:b w:val="0"/>
                <w:bCs w:val="0"/>
                <w:color w:val="auto"/>
                <w:sz w:val="28"/>
                <w:szCs w:val="28"/>
                <w:lang w:val="en-US" w:eastAsia="zh-CN"/>
              </w:rPr>
              <w:t>、《</w:t>
            </w:r>
            <w:bookmarkStart w:id="0" w:name="_Toc147929586"/>
            <w:bookmarkStart w:id="1" w:name="_Toc148001379"/>
            <w:bookmarkStart w:id="2" w:name="_Toc148001378"/>
            <w:bookmarkStart w:id="3" w:name="_Toc147929585"/>
            <w:r>
              <w:rPr>
                <w:rFonts w:hint="eastAsia" w:asciiTheme="minorEastAsia" w:hAnsiTheme="minorEastAsia" w:eastAsiaTheme="minorEastAsia" w:cstheme="minorEastAsia"/>
                <w:b w:val="0"/>
                <w:bCs w:val="0"/>
                <w:color w:val="auto"/>
                <w:sz w:val="28"/>
                <w:szCs w:val="28"/>
                <w:lang w:val="en-US" w:eastAsia="zh-CN"/>
              </w:rPr>
              <w:t>新林区黑龙沟砂金过采区历史遗留</w:t>
            </w:r>
            <w:bookmarkEnd w:id="0"/>
            <w:bookmarkEnd w:id="1"/>
            <w:bookmarkStart w:id="4" w:name="_Toc147929587"/>
            <w:bookmarkStart w:id="5" w:name="_Toc148001380"/>
            <w:r>
              <w:rPr>
                <w:rFonts w:hint="eastAsia" w:asciiTheme="minorEastAsia" w:hAnsiTheme="minorEastAsia" w:eastAsiaTheme="minorEastAsia" w:cstheme="minorEastAsia"/>
                <w:b w:val="0"/>
                <w:bCs w:val="0"/>
                <w:color w:val="auto"/>
                <w:sz w:val="28"/>
                <w:szCs w:val="28"/>
                <w:lang w:val="en-US" w:eastAsia="zh-CN"/>
              </w:rPr>
              <w:t>废弃矿山生态修复现状调查报告</w:t>
            </w:r>
            <w:bookmarkEnd w:id="2"/>
            <w:bookmarkEnd w:id="3"/>
            <w:bookmarkEnd w:id="4"/>
            <w:bookmarkEnd w:id="5"/>
            <w:r>
              <w:rPr>
                <w:rFonts w:hint="eastAsia" w:asciiTheme="minorEastAsia" w:hAnsiTheme="minorEastAsia" w:eastAsiaTheme="minorEastAsia" w:cstheme="minorEastAsia"/>
                <w:b w:val="0"/>
                <w:bCs w:val="0"/>
                <w:color w:val="auto"/>
                <w:sz w:val="28"/>
                <w:szCs w:val="28"/>
                <w:lang w:val="en-US" w:eastAsia="zh-CN"/>
              </w:rPr>
              <w:t>》（黑龙江鼎持地质勘查技术有限公司，2024年8月）及相关要求</w:t>
            </w:r>
            <w:r>
              <w:rPr>
                <w:rFonts w:hint="eastAsia" w:asciiTheme="minorEastAsia" w:hAnsiTheme="minorEastAsia" w:eastAsiaTheme="minorEastAsia" w:cstheme="minorEastAsia"/>
                <w:b w:val="0"/>
                <w:bCs w:val="0"/>
                <w:color w:val="auto"/>
                <w:sz w:val="28"/>
                <w:szCs w:val="28"/>
                <w:lang w:val="en-US" w:eastAsia="zh-Hans"/>
              </w:rPr>
              <w:t>进行。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大兴安岭地区行政公署自然资源局、生态环境局、林业和草原局和新林区自然资源局及黑龙江鼎持地质勘查技术有限公司有</w:t>
            </w:r>
            <w:r>
              <w:rPr>
                <w:rFonts w:hint="eastAsia" w:asciiTheme="minorEastAsia" w:hAnsiTheme="minorEastAsia" w:eastAsiaTheme="minorEastAsia" w:cstheme="minorEastAsia"/>
                <w:b w:val="0"/>
                <w:bCs w:val="0"/>
                <w:color w:val="auto"/>
                <w:sz w:val="28"/>
                <w:szCs w:val="28"/>
                <w:lang w:val="en-US" w:eastAsia="zh-Hans"/>
              </w:rPr>
              <w:t>关领导及人员</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验收专家组成员</w:t>
            </w:r>
            <w:r>
              <w:rPr>
                <w:rFonts w:hint="eastAsia" w:asciiTheme="minorEastAsia" w:hAnsiTheme="minorEastAsia" w:eastAsiaTheme="minorEastAsia" w:cstheme="minorEastAsia"/>
                <w:b w:val="0"/>
                <w:bCs w:val="0"/>
                <w:color w:val="auto"/>
                <w:sz w:val="28"/>
                <w:szCs w:val="28"/>
                <w:lang w:val="en-US" w:eastAsia="zh-CN"/>
              </w:rPr>
              <w:t>参加了验收，</w:t>
            </w:r>
            <w:r>
              <w:rPr>
                <w:rFonts w:hint="eastAsia" w:asciiTheme="minorEastAsia" w:hAnsiTheme="minorEastAsia" w:eastAsiaTheme="minorEastAsia" w:cstheme="minorEastAsia"/>
                <w:b w:val="0"/>
                <w:bCs w:val="0"/>
                <w:color w:val="auto"/>
                <w:sz w:val="28"/>
                <w:szCs w:val="28"/>
                <w:lang w:val="en-US" w:eastAsia="zh-Hans"/>
              </w:rPr>
              <w:t>采取“听、看、查、议”的方式进行</w:t>
            </w:r>
            <w:r>
              <w:rPr>
                <w:rFonts w:hint="eastAsia"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Hans"/>
              </w:rPr>
              <w:t>专家组成员通过</w:t>
            </w:r>
            <w:r>
              <w:rPr>
                <w:rFonts w:hint="eastAsia" w:asciiTheme="minorEastAsia" w:hAnsiTheme="minorEastAsia" w:eastAsiaTheme="minorEastAsia" w:cstheme="minorEastAsia"/>
                <w:b w:val="0"/>
                <w:bCs w:val="0"/>
                <w:color w:val="auto"/>
                <w:sz w:val="28"/>
                <w:szCs w:val="28"/>
                <w:lang w:val="en-US" w:eastAsia="zh-CN"/>
              </w:rPr>
              <w:t>听取该历史遗留废弃矿山图斑自然修复相关情况的汇报、</w:t>
            </w:r>
            <w:r>
              <w:rPr>
                <w:rFonts w:hint="eastAsia" w:asciiTheme="minorEastAsia" w:hAnsiTheme="minorEastAsia" w:eastAsiaTheme="minorEastAsia" w:cstheme="minorEastAsia"/>
                <w:b w:val="0"/>
                <w:bCs w:val="0"/>
                <w:color w:val="auto"/>
                <w:sz w:val="28"/>
                <w:szCs w:val="28"/>
                <w:lang w:val="en-US" w:eastAsia="zh-Hans"/>
              </w:rPr>
              <w:t>实地查看</w:t>
            </w:r>
            <w:r>
              <w:rPr>
                <w:rFonts w:hint="eastAsia" w:asciiTheme="minorEastAsia" w:hAnsiTheme="minorEastAsia" w:eastAsiaTheme="minorEastAsia" w:cstheme="minorEastAsia"/>
                <w:b w:val="0"/>
                <w:bCs w:val="0"/>
                <w:color w:val="auto"/>
                <w:sz w:val="28"/>
                <w:szCs w:val="28"/>
                <w:lang w:val="en-US" w:eastAsia="zh-CN"/>
              </w:rPr>
              <w:t>矿山自然修复情况、内业</w:t>
            </w:r>
            <w:r>
              <w:rPr>
                <w:rFonts w:hint="eastAsia" w:asciiTheme="minorEastAsia" w:hAnsiTheme="minorEastAsia" w:eastAsiaTheme="minorEastAsia" w:cstheme="minorEastAsia"/>
                <w:b w:val="0"/>
                <w:bCs w:val="0"/>
                <w:color w:val="auto"/>
                <w:sz w:val="28"/>
                <w:szCs w:val="28"/>
                <w:lang w:val="en-US" w:eastAsia="zh-Hans"/>
              </w:rPr>
              <w:t>资料</w:t>
            </w:r>
            <w:r>
              <w:rPr>
                <w:rFonts w:hint="eastAsia" w:asciiTheme="minorEastAsia" w:hAnsiTheme="minorEastAsia" w:eastAsiaTheme="minorEastAsia" w:cstheme="minorEastAsia"/>
                <w:b w:val="0"/>
                <w:bCs w:val="0"/>
                <w:color w:val="auto"/>
                <w:sz w:val="28"/>
                <w:szCs w:val="28"/>
                <w:lang w:val="en-US" w:eastAsia="zh-CN"/>
              </w:rPr>
              <w:t>检查</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并</w:t>
            </w:r>
            <w:r>
              <w:rPr>
                <w:rFonts w:hint="eastAsia" w:asciiTheme="minorEastAsia" w:hAnsiTheme="minorEastAsia" w:eastAsiaTheme="minorEastAsia" w:cstheme="minorEastAsia"/>
                <w:b w:val="0"/>
                <w:bCs w:val="0"/>
                <w:color w:val="auto"/>
                <w:sz w:val="28"/>
                <w:szCs w:val="28"/>
                <w:lang w:val="en-US" w:eastAsia="zh-Hans"/>
              </w:rPr>
              <w:t>就相关问题进行了询问和讨论，在取得共识的基础上，形成验收</w:t>
            </w:r>
            <w:r>
              <w:rPr>
                <w:rFonts w:hint="eastAsia" w:asciiTheme="minorEastAsia" w:hAnsiTheme="minorEastAsia" w:eastAsiaTheme="minorEastAsia" w:cstheme="minorEastAsia"/>
                <w:b w:val="0"/>
                <w:bCs w:val="0"/>
                <w:color w:val="auto"/>
                <w:sz w:val="28"/>
                <w:szCs w:val="28"/>
                <w:lang w:val="en-US" w:eastAsia="zh-CN"/>
              </w:rPr>
              <w:t>认定意见书</w:t>
            </w:r>
            <w:r>
              <w:rPr>
                <w:rFonts w:hint="eastAsia" w:asciiTheme="minorEastAsia" w:hAnsiTheme="minorEastAsia" w:eastAsiaTheme="minorEastAsia" w:cstheme="minorEastAsia"/>
                <w:b w:val="0"/>
                <w:bCs w:val="0"/>
                <w:color w:val="auto"/>
                <w:sz w:val="28"/>
                <w:szCs w:val="28"/>
                <w:lang w:val="en-US" w:eastAsia="zh-Han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2106" w:hRule="atLeast"/>
          <w:jc w:val="center"/>
        </w:trPr>
        <w:tc>
          <w:tcPr>
            <w:tcW w:w="8511" w:type="dxa"/>
            <w:tcBorders>
              <w:tl2br w:val="nil"/>
              <w:tr2bl w:val="nil"/>
            </w:tcBorders>
            <w:shd w:val="clear" w:color="auto" w:fill="FFFFFF"/>
            <w:noWrap w:val="0"/>
            <w:tcMar>
              <w:top w:w="12" w:type="dxa"/>
              <w:left w:w="12" w:type="dxa"/>
              <w:bottom w:w="0" w:type="dxa"/>
              <w:right w:w="12" w:type="dxa"/>
            </w:tcMar>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二、自然修复矿山基本概况</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1、矿山地理位置及面积</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黑龙沟砂金过采区历史遗留废弃矿山CT2327032016000048001图斑，位于新林区富林林场，地理坐标：东经125°19′25″—125°23′18″，北纬51°42′52″—51°45′35″，面积455.02公顷。</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本次申请验收范围，图斑</w:t>
            </w:r>
            <w:r>
              <w:rPr>
                <w:rFonts w:hint="eastAsia" w:ascii="Times New Roman" w:hAnsi="Times New Roman" w:eastAsia="宋体"/>
                <w:sz w:val="28"/>
                <w:szCs w:val="28"/>
                <w:lang w:val="en-US" w:eastAsia="zh-CN"/>
              </w:rPr>
              <w:t>编号</w:t>
            </w:r>
            <w:r>
              <w:rPr>
                <w:rFonts w:hint="eastAsia" w:asciiTheme="minorEastAsia" w:hAnsiTheme="minorEastAsia" w:eastAsiaTheme="minorEastAsia" w:cstheme="minorEastAsia"/>
                <w:b w:val="0"/>
                <w:bCs w:val="0"/>
                <w:color w:val="auto"/>
                <w:sz w:val="28"/>
                <w:szCs w:val="28"/>
                <w:lang w:val="en-US" w:eastAsia="zh-CN"/>
              </w:rPr>
              <w:t>CT2327032016000048001—2，面积为 19</w:t>
            </w:r>
            <w:r>
              <w:rPr>
                <w:rFonts w:hint="default" w:asciiTheme="minorEastAsia" w:hAnsiTheme="minorEastAsia" w:eastAsiaTheme="minorEastAsia" w:cstheme="minorEastAsia"/>
                <w:b w:val="0"/>
                <w:bCs w:val="0"/>
                <w:color w:val="auto"/>
                <w:sz w:val="28"/>
                <w:szCs w:val="28"/>
                <w:lang w:eastAsia="zh-CN"/>
              </w:rPr>
              <w:t>5</w:t>
            </w:r>
            <w:r>
              <w:rPr>
                <w:rFonts w:hint="eastAsia" w:asciiTheme="minorEastAsia" w:hAnsiTheme="minorEastAsia" w:eastAsiaTheme="minorEastAsia" w:cstheme="minorEastAsia"/>
                <w:b w:val="0"/>
                <w:bCs w:val="0"/>
                <w:color w:val="auto"/>
                <w:sz w:val="28"/>
                <w:szCs w:val="28"/>
                <w:lang w:val="en-US" w:eastAsia="zh-CN"/>
              </w:rPr>
              <w:t>.02公顷，拐点坐标见下表：</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lang w:val="en-US" w:eastAsia="zh-CN"/>
              </w:rPr>
            </w:pPr>
            <w:r>
              <w:rPr>
                <w:rFonts w:hint="eastAsia" w:asciiTheme="minorEastAsia" w:hAnsiTheme="minorEastAsia" w:eastAsiaTheme="minorEastAsia" w:cstheme="minorEastAsia"/>
                <w:b w:val="0"/>
                <w:bCs w:val="0"/>
                <w:color w:val="auto"/>
                <w:sz w:val="28"/>
                <w:szCs w:val="28"/>
                <w:lang w:val="en-US" w:eastAsia="zh-CN"/>
              </w:rPr>
              <w:t>申请验收范围拐点坐标表</w:t>
            </w:r>
          </w:p>
          <w:tbl>
            <w:tblPr>
              <w:tblStyle w:val="8"/>
              <w:tblW w:w="464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4"/>
              <w:gridCol w:w="1518"/>
              <w:gridCol w:w="1848"/>
              <w:gridCol w:w="774"/>
              <w:gridCol w:w="1461"/>
              <w:gridCol w:w="15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编号</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X</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Y</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编号</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X</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5736118.27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42460255.84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49</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5737263.92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42457408.92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5736104.50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42460407.34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5737322.93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42457456.12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5736186.19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42460617.78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51</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5737282.45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42457573.40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5736329.06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42460755.36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52</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5737130.04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42457698.18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5736456.06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42460829.44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53</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5737077.68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42457777.91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5736540.73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42460908.82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54</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5737280.69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42458015.37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5736588.35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42460977.61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5737440.05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42458120.08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5736614.81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42461041.11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56</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5737629.40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42458291.50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5736651.85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42461146.94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57</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5737855.71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42458550.05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5736646.56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42461199.86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58</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5737961.55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42458655.88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5736625.40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42461199.86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59</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5738019.75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42458735.26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5736593.65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42461199.86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5738062.09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42458767.01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5736535.44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42461136.36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61</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5738146.76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42458814.63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5736440.19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42461088.74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62</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5738268.46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42458894.01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5736366.10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42461051.69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63</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5738390.17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42458952.22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5736297.31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42461004.07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64</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5738474.84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42459010.42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5736254.98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42460940.57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5738543.63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42459068.63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5736170.31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42460855.90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66</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5738564.80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42459089.80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5736085.65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42460787.11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5738580.67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42459211.51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5736016.85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42460760.65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5738585.96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42459232.68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5735969.23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42460744.78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69</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5738564.80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42459269.72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5735855.32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42460744.78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70</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5738458.96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42459275.01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5735578.52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42460986.09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71</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5738369.01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42459285.59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5735430.35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42461081.35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72</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5738257.88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42459301.47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5735335.10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42461197.76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73</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5738130.88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42459253.84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5735261.02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42461335.35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74</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5738067.38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42459222.09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5735226.38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42461354.59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5737993.30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42459132.13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5735165.77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42461388.26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76</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5737898.05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42459068.63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29</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5735106.72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42461329.22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77</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5737808.09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42458994.55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5735102.27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42461324.76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5737712.84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42458931.05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5735104.80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42461313.80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79</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5737649.34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42458846.38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5735165.77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42461049.60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80</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5737612.30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42458804.05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5735178.17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42461035.91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81</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5737532.92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42458740.55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5735663.90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42460499.93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82</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5737517.05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42458666.47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5735673.65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42460487.77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83</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5737455.27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42458442.89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5735828.74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42460297.60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84</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5737257.64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42458178.16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5735870.13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42460086.44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5737053.29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42457973.38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5735856.22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42459627.45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86</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5736845.59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42457850.33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5735948.38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42458976.30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87</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5736635.20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42457792.66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5736030.50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42458570.33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88</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5736486.81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42457819.38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41</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5736182.66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42458052.60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5736346.72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42458042.89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5736193.79 </w:t>
                  </w:r>
                </w:p>
              </w:tc>
              <w:tc>
                <w:tcPr>
                  <w:tcW w:w="1173"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42457781.35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5736332.33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42458186.70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43</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5736515.74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42457634.40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91</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5736274.31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42458385.18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44</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5736805.74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ind w:left="0" w:leftChars="0" w:right="0" w:rightChars="0"/>
                    <w:jc w:val="center"/>
                    <w:textAlignment w:val="top"/>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42457538.44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5736245.27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42458594.25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45</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5736816.77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42457546.50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93</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5736151.93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42459273.12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5736868.88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42457567.34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94</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5736139.44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42459991.26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47</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5736923.01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42457558.78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5736118.27 </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42460255.84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48</w:t>
                  </w:r>
                </w:p>
              </w:tc>
              <w:tc>
                <w:tcPr>
                  <w:tcW w:w="9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5737142.11 </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right="0" w:rightChars="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42457403.97 </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kern w:val="0"/>
                      <w:sz w:val="22"/>
                      <w:szCs w:val="22"/>
                      <w:highlight w:val="none"/>
                      <w:u w:val="none"/>
                      <w:lang w:val="en-US" w:eastAsia="zh-CN" w:bidi="ar"/>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kern w:val="0"/>
                      <w:sz w:val="22"/>
                      <w:szCs w:val="22"/>
                      <w:highlight w:val="none"/>
                      <w:u w:val="none"/>
                      <w:lang w:val="en-US" w:eastAsia="zh-CN" w:bidi="ar"/>
                    </w:rPr>
                  </w:pP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kern w:val="0"/>
                      <w:sz w:val="22"/>
                      <w:szCs w:val="22"/>
                      <w:highlight w:val="none"/>
                      <w:u w:val="none"/>
                      <w:lang w:val="en-US" w:eastAsia="zh-CN" w:bidi="ar"/>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2、矿区地质环境概况</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黑龙沟砂金过采区历史遗留废弃矿山CT2327032016000048001图斑，地处松富林黑龙沟河谷平原区，图斑范围内上部地层为第四系全新统、更新统粉土、粉质粘土、砂砾石层，赋存第四系松散</w:t>
            </w:r>
            <w:r>
              <w:rPr>
                <w:rFonts w:hint="eastAsia" w:asciiTheme="minorEastAsia" w:hAnsiTheme="minorEastAsia" w:eastAsiaTheme="minorEastAsia" w:cstheme="minorEastAsia"/>
                <w:b w:val="0"/>
                <w:bCs w:val="0"/>
                <w:color w:val="auto"/>
                <w:sz w:val="28"/>
                <w:szCs w:val="28"/>
                <w:lang w:val="en-US" w:eastAsia="zh-Hans"/>
              </w:rPr>
              <w:t>岩类</w:t>
            </w:r>
            <w:r>
              <w:rPr>
                <w:rFonts w:hint="eastAsia" w:asciiTheme="minorEastAsia" w:hAnsiTheme="minorEastAsia" w:eastAsiaTheme="minorEastAsia" w:cstheme="minorEastAsia"/>
                <w:b w:val="0"/>
                <w:bCs w:val="0"/>
                <w:color w:val="auto"/>
                <w:sz w:val="28"/>
                <w:szCs w:val="28"/>
                <w:lang w:val="en-US" w:eastAsia="zh-CN"/>
              </w:rPr>
              <w:t>孔隙潜水，含水层厚度5—15米</w:t>
            </w:r>
            <w:r>
              <w:rPr>
                <w:rFonts w:hint="eastAsia" w:asciiTheme="minorEastAsia" w:hAnsiTheme="minorEastAsia" w:eastAsiaTheme="minorEastAsia" w:cstheme="minorEastAsia"/>
                <w:b w:val="0"/>
                <w:bCs w:val="0"/>
                <w:color w:val="auto"/>
                <w:sz w:val="28"/>
                <w:szCs w:val="28"/>
                <w:lang w:val="en-US" w:eastAsia="zh-Hans"/>
              </w:rPr>
              <w:t>、地下水位埋深</w:t>
            </w:r>
            <w:r>
              <w:rPr>
                <w:rFonts w:hint="eastAsia" w:asciiTheme="minorEastAsia" w:hAnsiTheme="minorEastAsia" w:eastAsiaTheme="minorEastAsia" w:cstheme="minorEastAsia"/>
                <w:b w:val="0"/>
                <w:bCs w:val="0"/>
                <w:color w:val="auto"/>
                <w:sz w:val="28"/>
                <w:szCs w:val="28"/>
                <w:lang w:val="en-US" w:eastAsia="zh-CN"/>
              </w:rPr>
              <w:t>1</w:t>
            </w:r>
            <w:r>
              <w:rPr>
                <w:rFonts w:hint="default" w:asciiTheme="minorEastAsia" w:hAnsiTheme="minorEastAsia" w:eastAsiaTheme="minorEastAsia" w:cstheme="minorEastAsia"/>
                <w:b w:val="0"/>
                <w:bCs w:val="0"/>
                <w:color w:val="auto"/>
                <w:sz w:val="28"/>
                <w:szCs w:val="28"/>
                <w:lang w:val="en-US" w:eastAsia="zh-CN"/>
              </w:rPr>
              <w:t>.5</w:t>
            </w:r>
            <w:r>
              <w:rPr>
                <w:rFonts w:hint="eastAsia" w:asciiTheme="minorEastAsia" w:hAnsiTheme="minorEastAsia" w:eastAsiaTheme="minorEastAsia" w:cstheme="minorEastAsia"/>
                <w:b w:val="0"/>
                <w:bCs w:val="0"/>
                <w:color w:val="auto"/>
                <w:sz w:val="28"/>
                <w:szCs w:val="28"/>
                <w:lang w:val="en-US" w:eastAsia="zh-CN"/>
              </w:rPr>
              <w:t>—3</w:t>
            </w:r>
            <w:r>
              <w:rPr>
                <w:rFonts w:hint="default" w:asciiTheme="minorEastAsia" w:hAnsiTheme="minorEastAsia" w:eastAsiaTheme="minorEastAsia" w:cstheme="minorEastAsia"/>
                <w:b w:val="0"/>
                <w:bCs w:val="0"/>
                <w:color w:val="auto"/>
                <w:sz w:val="28"/>
                <w:szCs w:val="28"/>
                <w:lang w:val="en-US" w:eastAsia="zh-CN"/>
              </w:rPr>
              <w:t>.</w:t>
            </w:r>
            <w:r>
              <w:rPr>
                <w:rFonts w:hint="eastAsia" w:asciiTheme="minorEastAsia" w:hAnsiTheme="minorEastAsia" w:eastAsiaTheme="minorEastAsia" w:cstheme="minorEastAsia"/>
                <w:b w:val="0"/>
                <w:bCs w:val="0"/>
                <w:color w:val="auto"/>
                <w:sz w:val="28"/>
                <w:szCs w:val="28"/>
                <w:lang w:val="en-US" w:eastAsia="zh-CN"/>
              </w:rPr>
              <w:t>5米，富水性中等；工</w:t>
            </w:r>
            <w:r>
              <w:rPr>
                <w:rFonts w:hint="eastAsia" w:asciiTheme="minorEastAsia" w:hAnsiTheme="minorEastAsia" w:eastAsiaTheme="minorEastAsia" w:cstheme="minorEastAsia"/>
                <w:b w:val="0"/>
                <w:bCs w:val="0"/>
                <w:color w:val="auto"/>
                <w:sz w:val="28"/>
                <w:szCs w:val="28"/>
                <w:lang w:val="en-US" w:eastAsia="zh-Hans"/>
              </w:rPr>
              <w:t>程地质岩组</w:t>
            </w:r>
            <w:r>
              <w:rPr>
                <w:rFonts w:hint="eastAsia" w:asciiTheme="minorEastAsia" w:hAnsiTheme="minorEastAsia" w:eastAsiaTheme="minorEastAsia" w:cstheme="minorEastAsia"/>
                <w:b w:val="0"/>
                <w:bCs w:val="0"/>
                <w:color w:val="auto"/>
                <w:sz w:val="28"/>
                <w:szCs w:val="28"/>
                <w:lang w:val="en-US" w:eastAsia="zh-CN"/>
              </w:rPr>
              <w:t>为松散岩类岩组，结构松散，强度低。下部为基岩，岩性一般为火山岩、花岗岩等。图斑原生生态环境：地势平坦开阔，土壤类型为草甸土、沼泽土，林地、草地植被发育，生态环境良好。</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3、矿山生态环境问题</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2004年以前，新林区黑龙沟河谷区对砂金矿的大量开采造成大面积的土地资源挖损与占用破坏，矿区破坏主要地类为林地、草地、沼泽草地、森林沼泽、河流水面、农村道路等。经调查统计开采形成的历史遗留废弃矿山图斑，土地资源挖损与占用破坏总面积为455.02公顷。由于矿山开采，造成地表砂、砂砾石、砾卵石裸露，植被损毁，土地资源与植被损毁及破坏程度均很严重，生态环境质量较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C00000"/>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2004年及以后，该图斑范围内砂金矿全面停采，矿山生态环境处于自然修复状态。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087" w:hRule="atLeast"/>
          <w:jc w:val="center"/>
        </w:trPr>
        <w:tc>
          <w:tcPr>
            <w:tcW w:w="8511" w:type="dxa"/>
            <w:tcBorders>
              <w:tl2br w:val="nil"/>
              <w:tr2bl w:val="nil"/>
            </w:tcBorders>
            <w:shd w:val="clear" w:color="auto" w:fill="FFFFFF"/>
            <w:noWrap w:val="0"/>
            <w:tcMar>
              <w:top w:w="12" w:type="dxa"/>
              <w:left w:w="12" w:type="dxa"/>
              <w:bottom w:w="0" w:type="dxa"/>
              <w:right w:w="12"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三、验收组检查情况</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验收专家组，内业查看《新林区黑龙沟砂金过采区历史遗留废弃矿山生态修复现状调查报告》。野外现场对图斑申请验收的19</w:t>
            </w:r>
            <w:r>
              <w:rPr>
                <w:rFonts w:hint="default" w:asciiTheme="minorEastAsia" w:hAnsiTheme="minorEastAsia" w:eastAsiaTheme="minorEastAsia" w:cstheme="minorEastAsia"/>
                <w:b w:val="0"/>
                <w:bCs w:val="0"/>
                <w:color w:val="auto"/>
                <w:sz w:val="28"/>
                <w:szCs w:val="28"/>
                <w:lang w:eastAsia="zh-CN"/>
              </w:rPr>
              <w:t>5</w:t>
            </w:r>
            <w:bookmarkStart w:id="6" w:name="_GoBack"/>
            <w:bookmarkEnd w:id="6"/>
            <w:r>
              <w:rPr>
                <w:rFonts w:hint="eastAsia" w:asciiTheme="minorEastAsia" w:hAnsiTheme="minorEastAsia" w:eastAsiaTheme="minorEastAsia" w:cstheme="minorEastAsia"/>
                <w:b w:val="0"/>
                <w:bCs w:val="0"/>
                <w:color w:val="auto"/>
                <w:sz w:val="28"/>
                <w:szCs w:val="28"/>
                <w:lang w:val="en-US" w:eastAsia="zh-CN"/>
              </w:rPr>
              <w:t>.02公顷范围区，采用无人机空中拍摄影像和地面路线穿越查看，主要工作内容：图斑坐标核对、查看场地平整程度、矿山地质环境问题消除、地形地貌景观与土壤植被修复、河道及水流，以及修复后的生态环境与周边自然环境、景观环境协调程度等情况。经检查，现场查看图斑CT2327032016000048001—2申请验收的19</w:t>
            </w:r>
            <w:r>
              <w:rPr>
                <w:rFonts w:hint="default" w:asciiTheme="minorEastAsia" w:hAnsiTheme="minorEastAsia" w:eastAsiaTheme="minorEastAsia" w:cstheme="minorEastAsia"/>
                <w:b w:val="0"/>
                <w:bCs w:val="0"/>
                <w:color w:val="auto"/>
                <w:sz w:val="28"/>
                <w:szCs w:val="28"/>
                <w:lang w:eastAsia="zh-CN"/>
              </w:rPr>
              <w:t>5</w:t>
            </w:r>
            <w:r>
              <w:rPr>
                <w:rFonts w:hint="eastAsia" w:asciiTheme="minorEastAsia" w:hAnsiTheme="minorEastAsia" w:eastAsiaTheme="minorEastAsia" w:cstheme="minorEastAsia"/>
                <w:b w:val="0"/>
                <w:bCs w:val="0"/>
                <w:color w:val="auto"/>
                <w:sz w:val="28"/>
                <w:szCs w:val="28"/>
                <w:lang w:val="en-US" w:eastAsia="zh-CN"/>
              </w:rPr>
              <w:t>.02公顷范围内，生态环境修复现状及相关信息与现状调查报告中对应描述内容基本吻合，报告内容可信程度高，作为验收依据充分。</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C00000"/>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黑龙沟砂金过采区历史遗留废弃矿山CT2327032016000048001图斑，在历史遗留矿山图斑数据库内；矿山位置偏远、远离城镇，人为扰动少；地质结构稳定、无直接威胁对象，无地质灾害隐患，地貌景观形态较完整，无水土污染问题；第四系松散沉积物丰富，具备植被存活的土壤、水源等基本条件，可自然缓慢生长植被。矿山自然恢复方式，满足“管理办法”第二十三条要求</w:t>
            </w:r>
            <w:r>
              <w:rPr>
                <w:rFonts w:hint="eastAsia" w:asciiTheme="minorEastAsia" w:hAnsiTheme="minorEastAsia" w:eastAsiaTheme="minorEastAsia" w:cstheme="minorEastAsia"/>
                <w:b w:val="0"/>
                <w:bCs w:val="0"/>
                <w:color w:val="C00000"/>
                <w:sz w:val="28"/>
                <w:szCs w:val="2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12157" w:hRule="atLeast"/>
          <w:jc w:val="center"/>
        </w:trPr>
        <w:tc>
          <w:tcPr>
            <w:tcW w:w="8511" w:type="dxa"/>
            <w:tcBorders>
              <w:tl2br w:val="nil"/>
              <w:tr2bl w:val="nil"/>
            </w:tcBorders>
            <w:shd w:val="clear" w:color="auto" w:fill="FFFFFF"/>
            <w:noWrap w:val="0"/>
            <w:tcMar>
              <w:top w:w="12" w:type="dxa"/>
              <w:left w:w="12" w:type="dxa"/>
              <w:bottom w:w="0" w:type="dxa"/>
              <w:right w:w="12" w:type="dxa"/>
            </w:tcMar>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四、矿山生态自然恢复成果</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通过查看内业资料和外业实地查看，新林区黑龙沟砂金过采区CT2327032016000048001—2图斑范围经过近二十年时间的自然修复，本次申请验收的19</w:t>
            </w:r>
            <w:r>
              <w:rPr>
                <w:rFonts w:hint="default" w:asciiTheme="minorEastAsia" w:hAnsiTheme="minorEastAsia" w:eastAsiaTheme="minorEastAsia" w:cstheme="minorEastAsia"/>
                <w:b w:val="0"/>
                <w:bCs w:val="0"/>
                <w:color w:val="auto"/>
                <w:sz w:val="28"/>
                <w:szCs w:val="28"/>
                <w:lang w:eastAsia="zh-CN"/>
              </w:rPr>
              <w:t>5</w:t>
            </w:r>
            <w:r>
              <w:rPr>
                <w:rFonts w:hint="eastAsia" w:asciiTheme="minorEastAsia" w:hAnsiTheme="minorEastAsia" w:eastAsiaTheme="minorEastAsia" w:cstheme="minorEastAsia"/>
                <w:b w:val="0"/>
                <w:bCs w:val="0"/>
                <w:color w:val="auto"/>
                <w:sz w:val="28"/>
                <w:szCs w:val="28"/>
                <w:lang w:val="en-US" w:eastAsia="zh-CN"/>
              </w:rPr>
              <w:t>.02公顷范围的生态自然修复程度较高，效果较好。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修复为林地、草地面积为18</w:t>
            </w:r>
            <w:r>
              <w:rPr>
                <w:rFonts w:hint="default" w:asciiTheme="minorEastAsia" w:hAnsiTheme="minorEastAsia" w:eastAsiaTheme="minorEastAsia" w:cstheme="minorEastAsia"/>
                <w:b w:val="0"/>
                <w:bCs w:val="0"/>
                <w:color w:val="auto"/>
                <w:sz w:val="28"/>
                <w:szCs w:val="28"/>
                <w:lang w:eastAsia="zh-CN"/>
              </w:rPr>
              <w:t>2</w:t>
            </w:r>
            <w:r>
              <w:rPr>
                <w:rFonts w:hint="eastAsia" w:asciiTheme="minorEastAsia" w:hAnsiTheme="minorEastAsia" w:eastAsiaTheme="minorEastAsia" w:cstheme="minorEastAsia"/>
                <w:b w:val="0"/>
                <w:bCs w:val="0"/>
                <w:color w:val="auto"/>
                <w:sz w:val="28"/>
                <w:szCs w:val="28"/>
                <w:lang w:val="en-US" w:eastAsia="zh-CN"/>
              </w:rPr>
              <w:t>.70公顷，河流及坑塘水面3.97公顷，道路面积0.95公顷，裸土地面积7.40公顷。</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黑龙沟砂金过采区矿山CT2327032016000048001—2图斑，申请验收的19</w:t>
            </w:r>
            <w:r>
              <w:rPr>
                <w:rFonts w:hint="default" w:asciiTheme="minorEastAsia" w:hAnsiTheme="minorEastAsia" w:eastAsiaTheme="minorEastAsia" w:cstheme="minorEastAsia"/>
                <w:b w:val="0"/>
                <w:bCs w:val="0"/>
                <w:color w:val="auto"/>
                <w:sz w:val="28"/>
                <w:szCs w:val="28"/>
                <w:lang w:eastAsia="zh-CN"/>
              </w:rPr>
              <w:t>5</w:t>
            </w:r>
            <w:r>
              <w:rPr>
                <w:rFonts w:hint="eastAsia" w:asciiTheme="minorEastAsia" w:hAnsiTheme="minorEastAsia" w:eastAsiaTheme="minorEastAsia" w:cstheme="minorEastAsia"/>
                <w:b w:val="0"/>
                <w:bCs w:val="0"/>
                <w:color w:val="auto"/>
                <w:sz w:val="28"/>
                <w:szCs w:val="28"/>
                <w:lang w:val="en-US" w:eastAsia="zh-CN"/>
              </w:rPr>
              <w:t>.02公顷范围内，矿业活动造成的矿山生态环境问题及生态胁迫因子基本消除，不具备发生危及人民生命财产安全事件的条件，不存在新的矿山地质环境问题；矿山占用与损毁的土地及植被得到了良好的恢复，土地利用功能和生态环境状况得到明显的改善。自然恢复区岩土裸露区域面积占自然恢复区域面积之比为3.91%；植被长势良好，草木覆盖率96.09%；自然恢复区与周边自然环境、景观环境基本协调，植被增长高度、成活率、覆盖率等指标整体呈正增长趋势。矿山土地及植被基本得到恢复并达到可供利用的状态，自然状态下生态环境持续稳定向好。</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C00000"/>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黑龙沟砂金过采区历史遗留废弃矿山CT2327032016000048001—2图斑，本次申请验收的19</w:t>
            </w:r>
            <w:r>
              <w:rPr>
                <w:rFonts w:hint="default" w:asciiTheme="minorEastAsia" w:hAnsiTheme="minorEastAsia" w:eastAsiaTheme="minorEastAsia" w:cstheme="minorEastAsia"/>
                <w:b w:val="0"/>
                <w:bCs w:val="0"/>
                <w:color w:val="auto"/>
                <w:sz w:val="28"/>
                <w:szCs w:val="28"/>
                <w:lang w:eastAsia="zh-CN"/>
              </w:rPr>
              <w:t>5</w:t>
            </w:r>
            <w:r>
              <w:rPr>
                <w:rFonts w:hint="eastAsia" w:asciiTheme="minorEastAsia" w:hAnsiTheme="minorEastAsia" w:eastAsiaTheme="minorEastAsia" w:cstheme="minorEastAsia"/>
                <w:b w:val="0"/>
                <w:bCs w:val="0"/>
                <w:color w:val="auto"/>
                <w:sz w:val="28"/>
                <w:szCs w:val="28"/>
                <w:lang w:val="en-US" w:eastAsia="zh-CN"/>
              </w:rPr>
              <w:t>.02公顷范围，生态修复成果达到了“管理办法”中“第二十九条”要求</w:t>
            </w:r>
            <w:r>
              <w:rPr>
                <w:rFonts w:hint="eastAsia" w:ascii="宋体" w:hAnsi="宋体" w:eastAsia="宋体" w:cs="宋体"/>
                <w:b w:val="0"/>
                <w:bCs w:val="0"/>
                <w:color w:val="auto"/>
                <w:sz w:val="28"/>
                <w:szCs w:val="28"/>
                <w:lang w:val="en-US" w:eastAsia="zh-CN"/>
              </w:rPr>
              <w:t>，也符合</w:t>
            </w:r>
            <w:r>
              <w:rPr>
                <w:rFonts w:hint="eastAsia" w:ascii="宋体" w:hAnsi="宋体" w:cs="宋体"/>
                <w:b w:val="0"/>
                <w:bCs w:val="0"/>
                <w:color w:val="auto"/>
                <w:sz w:val="28"/>
                <w:szCs w:val="28"/>
                <w:lang w:val="en-US" w:eastAsia="zh-CN"/>
              </w:rPr>
              <w:t>相关自然恢复技术规范要求</w:t>
            </w:r>
            <w:r>
              <w:rPr>
                <w:rFonts w:hint="eastAsia" w:asciiTheme="minorEastAsia" w:hAnsiTheme="minorEastAsia" w:eastAsiaTheme="minorEastAsia" w:cstheme="minorEastAsia"/>
                <w:b w:val="0"/>
                <w:bCs w:val="0"/>
                <w:color w:val="auto"/>
                <w:sz w:val="28"/>
                <w:szCs w:val="28"/>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600" w:hRule="atLeast"/>
          <w:jc w:val="center"/>
        </w:trPr>
        <w:tc>
          <w:tcPr>
            <w:tcW w:w="8511" w:type="dxa"/>
            <w:tcBorders>
              <w:tl2br w:val="nil"/>
              <w:tr2bl w:val="nil"/>
            </w:tcBorders>
            <w:shd w:val="clear" w:color="auto" w:fill="FFFFFF"/>
            <w:noWrap w:val="0"/>
            <w:tcMar>
              <w:top w:w="12" w:type="dxa"/>
              <w:left w:w="12" w:type="dxa"/>
              <w:bottom w:w="0" w:type="dxa"/>
              <w:right w:w="12" w:type="dxa"/>
            </w:tcMar>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五、后续管护责任主体和措施落实情况</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后续管护责任主体和措施，未落实。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538" w:hRule="atLeast"/>
          <w:jc w:val="center"/>
        </w:trPr>
        <w:tc>
          <w:tcPr>
            <w:tcW w:w="8511" w:type="dxa"/>
            <w:tcBorders>
              <w:tl2br w:val="nil"/>
              <w:tr2bl w:val="nil"/>
            </w:tcBorders>
            <w:shd w:val="clear" w:color="auto" w:fill="FFFFFF"/>
            <w:noWrap w:val="0"/>
            <w:tcMar>
              <w:top w:w="12" w:type="dxa"/>
              <w:left w:w="12" w:type="dxa"/>
              <w:bottom w:w="0" w:type="dxa"/>
              <w:right w:w="12" w:type="dxa"/>
            </w:tcMar>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六、要求整改内容和建议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1、进行定期巡查，发现并消除影响矿山自然修复的其他不利因素。</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lang w:val="en-US" w:eastAsia="zh-CN"/>
              </w:rPr>
            </w:pPr>
            <w:r>
              <w:rPr>
                <w:rFonts w:hint="eastAsia" w:asciiTheme="minorEastAsia" w:hAnsiTheme="minorEastAsia" w:eastAsiaTheme="minorEastAsia" w:cstheme="minorEastAsia"/>
                <w:b w:val="0"/>
                <w:bCs w:val="0"/>
                <w:sz w:val="28"/>
                <w:szCs w:val="28"/>
                <w:lang w:val="en-US" w:eastAsia="zh-CN"/>
              </w:rPr>
              <w:t>2、落实后续管护责任主体和措施，以保证植被增长高度、成活率、覆盖率等指标整体呈正增长趋势。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15" w:type="dxa"/>
            <w:left w:w="15" w:type="dxa"/>
            <w:bottom w:w="15" w:type="dxa"/>
            <w:right w:w="15" w:type="dxa"/>
          </w:tblCellMar>
        </w:tblPrEx>
        <w:trPr>
          <w:trHeight w:val="4842" w:hRule="atLeast"/>
          <w:jc w:val="center"/>
        </w:trPr>
        <w:tc>
          <w:tcPr>
            <w:tcW w:w="8511" w:type="dxa"/>
            <w:tcBorders>
              <w:tl2br w:val="nil"/>
              <w:tr2bl w:val="nil"/>
            </w:tcBorders>
            <w:shd w:val="clear" w:color="auto" w:fill="FFFFFF"/>
            <w:noWrap w:val="0"/>
            <w:tcMar>
              <w:top w:w="12" w:type="dxa"/>
              <w:left w:w="12" w:type="dxa"/>
              <w:bottom w:w="0" w:type="dxa"/>
              <w:right w:w="12" w:type="dxa"/>
            </w:tcMar>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七、验收结论</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新林区黑龙沟砂金过采区历史遗留矿山CT2327032016000048001—2图斑，本次申请验收的19</w:t>
            </w:r>
            <w:r>
              <w:rPr>
                <w:rFonts w:hint="default" w:asciiTheme="minorEastAsia" w:hAnsiTheme="minorEastAsia" w:eastAsiaTheme="minorEastAsia" w:cstheme="minorEastAsia"/>
                <w:b w:val="0"/>
                <w:bCs w:val="0"/>
                <w:color w:val="auto"/>
                <w:sz w:val="28"/>
                <w:szCs w:val="28"/>
                <w:lang w:eastAsia="zh-CN"/>
              </w:rPr>
              <w:t>5</w:t>
            </w:r>
            <w:r>
              <w:rPr>
                <w:rFonts w:hint="eastAsia" w:asciiTheme="minorEastAsia" w:hAnsiTheme="minorEastAsia" w:eastAsiaTheme="minorEastAsia" w:cstheme="minorEastAsia"/>
                <w:b w:val="0"/>
                <w:bCs w:val="0"/>
                <w:color w:val="auto"/>
                <w:sz w:val="28"/>
                <w:szCs w:val="28"/>
                <w:lang w:val="en-US" w:eastAsia="zh-CN"/>
              </w:rPr>
              <w:t>.02公顷范围内生态修复成果已达到</w:t>
            </w:r>
            <w:r>
              <w:rPr>
                <w:rFonts w:hint="eastAsia" w:asciiTheme="minorEastAsia" w:hAnsiTheme="minorEastAsia" w:eastAsiaTheme="minorEastAsia" w:cstheme="minorEastAsia"/>
                <w:b w:val="0"/>
                <w:bCs w:val="0"/>
                <w:color w:val="auto"/>
                <w:sz w:val="28"/>
                <w:szCs w:val="28"/>
                <w:lang w:val="en-US" w:eastAsia="zh-Hans"/>
              </w:rPr>
              <w:t>黑</w:t>
            </w:r>
            <w:r>
              <w:rPr>
                <w:rFonts w:hint="eastAsia" w:asciiTheme="minorEastAsia" w:hAnsiTheme="minorEastAsia" w:eastAsiaTheme="minorEastAsia" w:cstheme="minorEastAsia"/>
                <w:b w:val="0"/>
                <w:bCs w:val="0"/>
                <w:color w:val="auto"/>
                <w:sz w:val="28"/>
                <w:szCs w:val="28"/>
                <w:lang w:val="en-US" w:eastAsia="zh-CN"/>
              </w:rPr>
              <w:t>自然</w:t>
            </w:r>
            <w:r>
              <w:rPr>
                <w:rFonts w:hint="eastAsia" w:asciiTheme="minorEastAsia" w:hAnsiTheme="minorEastAsia" w:eastAsiaTheme="minorEastAsia" w:cstheme="minorEastAsia"/>
                <w:b w:val="0"/>
                <w:bCs w:val="0"/>
                <w:color w:val="auto"/>
                <w:sz w:val="28"/>
                <w:szCs w:val="28"/>
                <w:lang w:val="en-US" w:eastAsia="zh-Hans"/>
              </w:rPr>
              <w:t>资[20</w:t>
            </w:r>
            <w:r>
              <w:rPr>
                <w:rFonts w:hint="eastAsia" w:asciiTheme="minorEastAsia" w:hAnsiTheme="minorEastAsia" w:eastAsiaTheme="minorEastAsia" w:cstheme="minorEastAsia"/>
                <w:b w:val="0"/>
                <w:bCs w:val="0"/>
                <w:color w:val="auto"/>
                <w:sz w:val="28"/>
                <w:szCs w:val="28"/>
                <w:lang w:val="en-US" w:eastAsia="zh-CN"/>
              </w:rPr>
              <w:t>23</w:t>
            </w:r>
            <w:r>
              <w:rPr>
                <w:rFonts w:hint="eastAsia" w:asciiTheme="minorEastAsia" w:hAnsiTheme="minorEastAsia" w:eastAsiaTheme="minorEastAsia" w:cstheme="minorEastAsia"/>
                <w:b w:val="0"/>
                <w:bCs w:val="0"/>
                <w:color w:val="auto"/>
                <w:sz w:val="28"/>
                <w:szCs w:val="28"/>
                <w:lang w:val="en-US" w:eastAsia="zh-Hans"/>
              </w:rPr>
              <w:t>]</w:t>
            </w:r>
            <w:r>
              <w:rPr>
                <w:rFonts w:hint="eastAsia" w:asciiTheme="minorEastAsia" w:hAnsiTheme="minorEastAsia" w:eastAsiaTheme="minorEastAsia" w:cstheme="minorEastAsia"/>
                <w:b w:val="0"/>
                <w:bCs w:val="0"/>
                <w:color w:val="auto"/>
                <w:sz w:val="28"/>
                <w:szCs w:val="28"/>
                <w:lang w:val="en-US" w:eastAsia="zh-CN"/>
              </w:rPr>
              <w:t>34</w:t>
            </w:r>
            <w:r>
              <w:rPr>
                <w:rFonts w:hint="eastAsia" w:asciiTheme="minorEastAsia" w:hAnsiTheme="minorEastAsia" w:eastAsiaTheme="minorEastAsia" w:cstheme="minorEastAsia"/>
                <w:b w:val="0"/>
                <w:bCs w:val="0"/>
                <w:color w:val="auto"/>
                <w:sz w:val="28"/>
                <w:szCs w:val="28"/>
                <w:lang w:val="en-US" w:eastAsia="zh-Hans"/>
              </w:rPr>
              <w:t>号</w:t>
            </w:r>
            <w:r>
              <w:rPr>
                <w:rFonts w:hint="eastAsia" w:asciiTheme="minorEastAsia" w:hAnsiTheme="minorEastAsia" w:eastAsiaTheme="minorEastAsia" w:cstheme="minorEastAsia"/>
                <w:b w:val="0"/>
                <w:bCs w:val="0"/>
                <w:color w:val="auto"/>
                <w:sz w:val="28"/>
                <w:szCs w:val="28"/>
                <w:lang w:val="en-US" w:eastAsia="zh-CN"/>
              </w:rPr>
              <w:t>文件“管理办法”中“第二十三条——第二十九条”要求，</w:t>
            </w:r>
            <w:r>
              <w:rPr>
                <w:rFonts w:hint="eastAsia" w:ascii="宋体" w:hAnsi="宋体" w:eastAsia="宋体" w:cs="宋体"/>
                <w:b w:val="0"/>
                <w:bCs w:val="0"/>
                <w:sz w:val="28"/>
                <w:szCs w:val="28"/>
                <w:lang w:val="en-US" w:eastAsia="zh-CN"/>
              </w:rPr>
              <w:t>也符合相关自然恢复技术规范要求</w:t>
            </w:r>
            <w:r>
              <w:rPr>
                <w:rFonts w:hint="eastAsia" w:asciiTheme="minorEastAsia" w:hAnsiTheme="minorEastAsia" w:eastAsiaTheme="minorEastAsia" w:cstheme="minorEastAsia"/>
                <w:b w:val="0"/>
                <w:bCs w:val="0"/>
                <w:color w:val="auto"/>
                <w:sz w:val="28"/>
                <w:szCs w:val="28"/>
                <w:lang w:val="en-US" w:eastAsia="zh-CN"/>
              </w:rPr>
              <w:t>。</w:t>
            </w:r>
            <w:r>
              <w:rPr>
                <w:rFonts w:hint="eastAsia" w:ascii="宋体" w:hAnsi="宋体" w:eastAsia="宋体" w:cs="宋体"/>
                <w:b w:val="0"/>
                <w:bCs w:val="0"/>
                <w:sz w:val="28"/>
                <w:szCs w:val="28"/>
                <w:lang w:val="en-US" w:eastAsia="zh-CN"/>
              </w:rPr>
              <w:t>自然恢复效果自评报告，评价内容合理，符合实际。</w:t>
            </w:r>
            <w:r>
              <w:rPr>
                <w:rFonts w:hint="eastAsia" w:asciiTheme="minorEastAsia" w:hAnsiTheme="minorEastAsia" w:eastAsiaTheme="minorEastAsia" w:cstheme="minorEastAsia"/>
                <w:b w:val="0"/>
                <w:bCs w:val="0"/>
                <w:color w:val="auto"/>
                <w:sz w:val="28"/>
                <w:szCs w:val="28"/>
                <w:lang w:val="en-US" w:eastAsia="zh-CN"/>
              </w:rPr>
              <w:t>矿山自然恢复成效明显、验收资料真实完整、实施过程科学规范。综合评判自然恢复成果，认定为合格，验收通过。</w:t>
            </w:r>
          </w:p>
          <w:p>
            <w:pPr>
              <w:pStyle w:val="14"/>
              <w:rPr>
                <w:rFonts w:hint="eastAsia" w:asciiTheme="minorEastAsia" w:hAnsiTheme="minorEastAsia" w:eastAsiaTheme="minorEastAsia" w:cstheme="minorEastAsia"/>
                <w:b w:val="0"/>
                <w:bCs w:val="0"/>
                <w:color w:val="auto"/>
                <w:sz w:val="28"/>
                <w:szCs w:val="28"/>
                <w:lang w:val="en-US" w:eastAsia="zh-CN"/>
              </w:rPr>
            </w:pPr>
          </w:p>
          <w:p>
            <w:pPr>
              <w:pStyle w:val="14"/>
              <w:rPr>
                <w:rFonts w:hint="eastAsia" w:asciiTheme="minorEastAsia" w:hAnsiTheme="minorEastAsia" w:eastAsiaTheme="minorEastAsia" w:cstheme="minorEastAsia"/>
                <w:b w:val="0"/>
                <w:bCs w:val="0"/>
                <w:color w:val="auto"/>
                <w:sz w:val="28"/>
                <w:szCs w:val="28"/>
                <w:lang w:val="en-US" w:eastAsia="zh-CN"/>
              </w:rPr>
            </w:pPr>
          </w:p>
          <w:p>
            <w:pPr>
              <w:pStyle w:val="14"/>
              <w:rPr>
                <w:rFonts w:hint="eastAsia" w:asciiTheme="minorEastAsia" w:hAnsiTheme="minorEastAsia" w:eastAsiaTheme="minorEastAsia" w:cstheme="minorEastAsia"/>
                <w:b w:val="0"/>
                <w:bCs w:val="0"/>
                <w:color w:val="auto"/>
                <w:sz w:val="28"/>
                <w:szCs w:val="28"/>
                <w:lang w:val="en-US" w:eastAsia="zh-CN"/>
              </w:rPr>
            </w:pPr>
          </w:p>
          <w:p>
            <w:pPr>
              <w:pStyle w:val="14"/>
              <w:rPr>
                <w:rFonts w:hint="eastAsia" w:asciiTheme="minorEastAsia" w:hAnsiTheme="minorEastAsia" w:eastAsiaTheme="minorEastAsia" w:cstheme="minorEastAsia"/>
                <w:b w:val="0"/>
                <w:bCs w:val="0"/>
                <w:color w:val="auto"/>
                <w:sz w:val="28"/>
                <w:szCs w:val="28"/>
                <w:lang w:val="en-US" w:eastAsia="zh-CN"/>
              </w:rPr>
            </w:pPr>
          </w:p>
          <w:p>
            <w:pPr>
              <w:pStyle w:val="14"/>
              <w:rPr>
                <w:rFonts w:hint="eastAsia" w:asciiTheme="minorEastAsia" w:hAnsiTheme="minorEastAsia" w:eastAsiaTheme="minorEastAsia" w:cstheme="minorEastAsia"/>
                <w:b w:val="0"/>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eastAsia="zh-CN"/>
              </w:rPr>
              <w:t xml:space="preserve">                                    </w:t>
            </w:r>
            <w:r>
              <w:rPr>
                <w:rFonts w:hint="eastAsia" w:asciiTheme="minorEastAsia" w:hAnsiTheme="minorEastAsia" w:eastAsiaTheme="minorEastAsia" w:cstheme="minorEastAsia"/>
                <w:b w:val="0"/>
                <w:bCs w:val="0"/>
                <w:color w:val="auto"/>
                <w:sz w:val="28"/>
                <w:szCs w:val="28"/>
                <w:lang w:val="en-US" w:eastAsia="zh-CN"/>
              </w:rPr>
              <w:t>2024年9月19日</w:t>
            </w:r>
          </w:p>
          <w:p>
            <w:pPr>
              <w:keepNext w:val="0"/>
              <w:keepLines w:val="0"/>
              <w:pageBreakBefore w:val="0"/>
              <w:widowControl w:val="0"/>
              <w:kinsoku/>
              <w:wordWrap/>
              <w:overflowPunct/>
              <w:topLinePunct w:val="0"/>
              <w:autoSpaceDE/>
              <w:autoSpaceDN/>
              <w:bidi w:val="0"/>
              <w:adjustRightInd w:val="0"/>
              <w:snapToGrid w:val="0"/>
              <w:spacing w:line="360" w:lineRule="auto"/>
              <w:ind w:firstLine="5040" w:firstLineChars="1800"/>
              <w:textAlignment w:val="auto"/>
              <w:rPr>
                <w:rFonts w:hint="eastAsia" w:asciiTheme="minorEastAsia" w:hAnsiTheme="minorEastAsia" w:eastAsiaTheme="minorEastAsia" w:cstheme="minorEastAsia"/>
                <w:b w:val="0"/>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heme="minorEastAsia" w:hAnsiTheme="minorEastAsia" w:eastAsiaTheme="minorEastAsia" w:cstheme="minorEastAsia"/>
                <w:b w:val="0"/>
                <w:bCs w:val="0"/>
                <w:color w:val="auto"/>
                <w:sz w:val="28"/>
                <w:szCs w:val="28"/>
                <w:lang w:val="en-US" w:eastAsia="zh-CN"/>
              </w:rPr>
            </w:pPr>
          </w:p>
        </w:tc>
      </w:tr>
    </w:tbl>
    <w:p>
      <w:pPr>
        <w:pStyle w:val="13"/>
        <w:rPr>
          <w:rFonts w:hint="eastAsia"/>
          <w:lang w:val="en-US" w:eastAsia="zh-CN"/>
        </w:rPr>
      </w:pPr>
    </w:p>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503050405090304"/>
    <w:charset w:val="01"/>
    <w:family w:val="swiss"/>
    <w:pitch w:val="default"/>
    <w:sig w:usb0="00000000" w:usb1="00000000" w:usb2="00000001" w:usb3="00000000" w:csb0="400001BF" w:csb1="DFF7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8qgRyK4BAABLAwAADgAAAAAAAAABACAAAAA0AQAAZHJzL2Uyb0RvYy54bWxQ&#10;SwUGAAAAAAYABgBZAQAAVAUAAAAA&#10;">
              <v:fill on="f" focussize="0,0"/>
              <v:stroke on="f"/>
              <v:imagedata o:title=""/>
              <o:lock v:ext="edit" aspectratio="f"/>
              <v:textbox inset="0mm,0mm,0mm,0mm" style="mso-fit-shape-to-text:t;">
                <w:txbxContent>
                  <w:p>
                    <w:pPr>
                      <w:pStyle w:val="5"/>
                      <w:rPr>
                        <w:rFonts w:hint="eastAsia"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OTUwZWNmNWUyNWI3YjMzMzkyM2I2ZThhOWNhMTkifQ=="/>
  </w:docVars>
  <w:rsids>
    <w:rsidRoot w:val="00172A27"/>
    <w:rsid w:val="01344706"/>
    <w:rsid w:val="01C731E3"/>
    <w:rsid w:val="03037C3F"/>
    <w:rsid w:val="041E6C5B"/>
    <w:rsid w:val="06406019"/>
    <w:rsid w:val="069A0E8B"/>
    <w:rsid w:val="09F204B1"/>
    <w:rsid w:val="0B532AE5"/>
    <w:rsid w:val="0B6B080E"/>
    <w:rsid w:val="0DF30934"/>
    <w:rsid w:val="0ED1008E"/>
    <w:rsid w:val="0FF404CF"/>
    <w:rsid w:val="10B61887"/>
    <w:rsid w:val="11CC6E78"/>
    <w:rsid w:val="125640B9"/>
    <w:rsid w:val="12CA1FCB"/>
    <w:rsid w:val="137300A2"/>
    <w:rsid w:val="142C30C9"/>
    <w:rsid w:val="1A612F68"/>
    <w:rsid w:val="1B1F82C4"/>
    <w:rsid w:val="1C777080"/>
    <w:rsid w:val="1CFD92E6"/>
    <w:rsid w:val="1E7A74F5"/>
    <w:rsid w:val="1F27318D"/>
    <w:rsid w:val="20F56DB4"/>
    <w:rsid w:val="21120619"/>
    <w:rsid w:val="22504320"/>
    <w:rsid w:val="25187744"/>
    <w:rsid w:val="254A6193"/>
    <w:rsid w:val="26307BB3"/>
    <w:rsid w:val="271061CB"/>
    <w:rsid w:val="28FF6563"/>
    <w:rsid w:val="29815CE6"/>
    <w:rsid w:val="29AB22CB"/>
    <w:rsid w:val="29BD9680"/>
    <w:rsid w:val="2A2E2FA6"/>
    <w:rsid w:val="2A2E3188"/>
    <w:rsid w:val="2B1D36B4"/>
    <w:rsid w:val="2B6708CF"/>
    <w:rsid w:val="2C7C109E"/>
    <w:rsid w:val="2DEE5864"/>
    <w:rsid w:val="2E1E3AD7"/>
    <w:rsid w:val="2E953B7B"/>
    <w:rsid w:val="320B54DE"/>
    <w:rsid w:val="32F339FC"/>
    <w:rsid w:val="34791977"/>
    <w:rsid w:val="35E01A6F"/>
    <w:rsid w:val="36B384AB"/>
    <w:rsid w:val="37FFE6D6"/>
    <w:rsid w:val="39FA7CA4"/>
    <w:rsid w:val="3B3FA1C3"/>
    <w:rsid w:val="3B6E8A55"/>
    <w:rsid w:val="3B9B48E6"/>
    <w:rsid w:val="3E276293"/>
    <w:rsid w:val="3E6F46EB"/>
    <w:rsid w:val="3ED929CE"/>
    <w:rsid w:val="3FBFBF5B"/>
    <w:rsid w:val="407C7054"/>
    <w:rsid w:val="41812653"/>
    <w:rsid w:val="43813A25"/>
    <w:rsid w:val="4389421A"/>
    <w:rsid w:val="47BA115C"/>
    <w:rsid w:val="48455675"/>
    <w:rsid w:val="4890058F"/>
    <w:rsid w:val="491964D9"/>
    <w:rsid w:val="4A691F0A"/>
    <w:rsid w:val="4C7E4FEC"/>
    <w:rsid w:val="4CA06CB9"/>
    <w:rsid w:val="4E663992"/>
    <w:rsid w:val="4E8F2977"/>
    <w:rsid w:val="4F9F6660"/>
    <w:rsid w:val="501452D5"/>
    <w:rsid w:val="515E5167"/>
    <w:rsid w:val="529C49EA"/>
    <w:rsid w:val="535864B7"/>
    <w:rsid w:val="53AA1EF8"/>
    <w:rsid w:val="53DC5129"/>
    <w:rsid w:val="54CB0514"/>
    <w:rsid w:val="55BB4435"/>
    <w:rsid w:val="55FF36F2"/>
    <w:rsid w:val="561D50CF"/>
    <w:rsid w:val="563947E5"/>
    <w:rsid w:val="56625644"/>
    <w:rsid w:val="56F75E6D"/>
    <w:rsid w:val="59D9E2C2"/>
    <w:rsid w:val="5AB65B98"/>
    <w:rsid w:val="5AD15F5B"/>
    <w:rsid w:val="5B3F01EC"/>
    <w:rsid w:val="5B8F5AD3"/>
    <w:rsid w:val="5BEA76D8"/>
    <w:rsid w:val="5BEDCDF8"/>
    <w:rsid w:val="5D14252A"/>
    <w:rsid w:val="5DDA5FC0"/>
    <w:rsid w:val="5ED60BF2"/>
    <w:rsid w:val="5F2BDBAC"/>
    <w:rsid w:val="5F2C2796"/>
    <w:rsid w:val="5F7B7C6F"/>
    <w:rsid w:val="5FDD403A"/>
    <w:rsid w:val="5FF8BC97"/>
    <w:rsid w:val="61761FA3"/>
    <w:rsid w:val="63BD6F09"/>
    <w:rsid w:val="63FDA48A"/>
    <w:rsid w:val="64124018"/>
    <w:rsid w:val="66186126"/>
    <w:rsid w:val="6647401C"/>
    <w:rsid w:val="66F9A048"/>
    <w:rsid w:val="67A25A81"/>
    <w:rsid w:val="67D7D5C0"/>
    <w:rsid w:val="67F3B785"/>
    <w:rsid w:val="697B3A6B"/>
    <w:rsid w:val="6A166EF7"/>
    <w:rsid w:val="6A8152A0"/>
    <w:rsid w:val="6AF8461A"/>
    <w:rsid w:val="6B2E434D"/>
    <w:rsid w:val="6C2FBE65"/>
    <w:rsid w:val="6C92264A"/>
    <w:rsid w:val="6CBF46F0"/>
    <w:rsid w:val="6DBBD11A"/>
    <w:rsid w:val="6DE15905"/>
    <w:rsid w:val="6DFDD3F4"/>
    <w:rsid w:val="6EA97E5C"/>
    <w:rsid w:val="6EAF7534"/>
    <w:rsid w:val="6FBC4602"/>
    <w:rsid w:val="6FD43796"/>
    <w:rsid w:val="6FE6F5D0"/>
    <w:rsid w:val="6FFC7394"/>
    <w:rsid w:val="709E873E"/>
    <w:rsid w:val="70D02E31"/>
    <w:rsid w:val="727B7BC3"/>
    <w:rsid w:val="736BF93B"/>
    <w:rsid w:val="737300F7"/>
    <w:rsid w:val="74131BD7"/>
    <w:rsid w:val="744D4505"/>
    <w:rsid w:val="74F44FE0"/>
    <w:rsid w:val="75A44310"/>
    <w:rsid w:val="75EA9EC4"/>
    <w:rsid w:val="75F5C08B"/>
    <w:rsid w:val="77B63E3F"/>
    <w:rsid w:val="77BD7DCD"/>
    <w:rsid w:val="77DF2A1B"/>
    <w:rsid w:val="77EFC463"/>
    <w:rsid w:val="77F02658"/>
    <w:rsid w:val="77F7193D"/>
    <w:rsid w:val="77FE3AD7"/>
    <w:rsid w:val="77FF1B1A"/>
    <w:rsid w:val="77FFC4AD"/>
    <w:rsid w:val="789460E0"/>
    <w:rsid w:val="78B875B2"/>
    <w:rsid w:val="78FA0122"/>
    <w:rsid w:val="7B0A3AED"/>
    <w:rsid w:val="7BDEFAF2"/>
    <w:rsid w:val="7BF70971"/>
    <w:rsid w:val="7BF7669A"/>
    <w:rsid w:val="7CF40CC0"/>
    <w:rsid w:val="7DBD0ABA"/>
    <w:rsid w:val="7DBF8175"/>
    <w:rsid w:val="7DF062FA"/>
    <w:rsid w:val="7DFCAA62"/>
    <w:rsid w:val="7E77F30B"/>
    <w:rsid w:val="7EC743AD"/>
    <w:rsid w:val="7EEF9797"/>
    <w:rsid w:val="7F4513DA"/>
    <w:rsid w:val="7F679954"/>
    <w:rsid w:val="7FBF2C25"/>
    <w:rsid w:val="7FDCDC74"/>
    <w:rsid w:val="7FDD5813"/>
    <w:rsid w:val="7FDF0C27"/>
    <w:rsid w:val="7FEF3ADC"/>
    <w:rsid w:val="7FEF5A5F"/>
    <w:rsid w:val="7FEF6DF5"/>
    <w:rsid w:val="7FFF860E"/>
    <w:rsid w:val="87FF91C2"/>
    <w:rsid w:val="95EFCAED"/>
    <w:rsid w:val="9DB3D87B"/>
    <w:rsid w:val="9FB712CA"/>
    <w:rsid w:val="9FBACDAB"/>
    <w:rsid w:val="A3FA5CF5"/>
    <w:rsid w:val="ABDF41F0"/>
    <w:rsid w:val="ADFE911D"/>
    <w:rsid w:val="AE392AA8"/>
    <w:rsid w:val="AED7C866"/>
    <w:rsid w:val="AFBA2007"/>
    <w:rsid w:val="B2BD8D0C"/>
    <w:rsid w:val="B4A511A6"/>
    <w:rsid w:val="B53BE801"/>
    <w:rsid w:val="B5FFE29D"/>
    <w:rsid w:val="B7EFE30E"/>
    <w:rsid w:val="B9C6095B"/>
    <w:rsid w:val="BA7B23C6"/>
    <w:rsid w:val="BBEE0CE5"/>
    <w:rsid w:val="BBEEE755"/>
    <w:rsid w:val="BD77B8C1"/>
    <w:rsid w:val="BDFB0E51"/>
    <w:rsid w:val="BEC5AB10"/>
    <w:rsid w:val="BFDF003D"/>
    <w:rsid w:val="BFDFAA83"/>
    <w:rsid w:val="BFFB2D01"/>
    <w:rsid w:val="C5F771C5"/>
    <w:rsid w:val="C9FB471B"/>
    <w:rsid w:val="CAE5EAC3"/>
    <w:rsid w:val="D1F78362"/>
    <w:rsid w:val="D52F78B1"/>
    <w:rsid w:val="D73FF1BC"/>
    <w:rsid w:val="D7DB45DC"/>
    <w:rsid w:val="DD37F195"/>
    <w:rsid w:val="DE9B8E9B"/>
    <w:rsid w:val="DEDB8972"/>
    <w:rsid w:val="DEDCC300"/>
    <w:rsid w:val="DF9FC5E0"/>
    <w:rsid w:val="DFED3BD9"/>
    <w:rsid w:val="DFFF0282"/>
    <w:rsid w:val="E5FC6D19"/>
    <w:rsid w:val="ED1F9C89"/>
    <w:rsid w:val="EDAF998C"/>
    <w:rsid w:val="EFDF2069"/>
    <w:rsid w:val="F6F647B0"/>
    <w:rsid w:val="F74E681F"/>
    <w:rsid w:val="F75F4198"/>
    <w:rsid w:val="F77FAFD7"/>
    <w:rsid w:val="F7DDA909"/>
    <w:rsid w:val="F7FDF6B8"/>
    <w:rsid w:val="F7FF12D7"/>
    <w:rsid w:val="F8EF9398"/>
    <w:rsid w:val="FC2B4EF3"/>
    <w:rsid w:val="FC9FFB10"/>
    <w:rsid w:val="FDEE25E4"/>
    <w:rsid w:val="FDF704DC"/>
    <w:rsid w:val="FDFB055C"/>
    <w:rsid w:val="FDFF0838"/>
    <w:rsid w:val="FE2F2DC3"/>
    <w:rsid w:val="FEAF2840"/>
    <w:rsid w:val="FF93A76C"/>
    <w:rsid w:val="FF9E0F0B"/>
    <w:rsid w:val="FFBB10BD"/>
    <w:rsid w:val="FFBBA5CE"/>
    <w:rsid w:val="FFC96A5F"/>
    <w:rsid w:val="FFD8B8A0"/>
    <w:rsid w:val="FFE5CF4C"/>
    <w:rsid w:val="FFEE026D"/>
    <w:rsid w:val="FFFF6CF9"/>
    <w:rsid w:val="FFFF8B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qFormat/>
    <w:uiPriority w:val="0"/>
    <w:pPr>
      <w:spacing w:before="1" w:line="360" w:lineRule="auto"/>
      <w:ind w:left="306" w:right="306" w:firstLine="567"/>
      <w:jc w:val="both"/>
    </w:pPr>
    <w:rPr>
      <w:rFonts w:ascii="仿宋" w:hAnsi="仿宋" w:eastAsia="仿宋_GB2312" w:cs="仿宋"/>
      <w:spacing w:val="-1"/>
      <w:sz w:val="32"/>
      <w:szCs w:val="28"/>
      <w:lang w:val="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paragraph" w:customStyle="1" w:styleId="13">
    <w:name w:val="样式 正文001 + 首行缩进:  2 字符1"/>
    <w:basedOn w:val="1"/>
    <w:qFormat/>
    <w:uiPriority w:val="0"/>
    <w:pPr>
      <w:spacing w:before="60" w:line="460" w:lineRule="exact"/>
      <w:ind w:firstLine="480"/>
    </w:pPr>
    <w:rPr>
      <w:rFonts w:hAnsi="宋体"/>
      <w:szCs w:val="22"/>
    </w:rPr>
  </w:style>
  <w:style w:type="paragraph" w:customStyle="1" w:styleId="14">
    <w:name w:val="表格内"/>
    <w:basedOn w:val="1"/>
    <w:qFormat/>
    <w:uiPriority w:val="99"/>
    <w:pPr>
      <w:spacing w:line="360" w:lineRule="exact"/>
      <w:jc w:val="center"/>
    </w:pPr>
    <w:rPr>
      <w:rFonts w:eastAsia="Times New Roman"/>
      <w:szCs w:val="21"/>
    </w:rPr>
  </w:style>
  <w:style w:type="character" w:customStyle="1" w:styleId="15">
    <w:name w:val="font01"/>
    <w:basedOn w:val="10"/>
    <w:qFormat/>
    <w:uiPriority w:val="0"/>
    <w:rPr>
      <w:rFonts w:hint="eastAsia" w:ascii="宋体" w:hAnsi="宋体" w:eastAsia="宋体" w:cs="宋体"/>
      <w:color w:val="000000"/>
      <w:sz w:val="24"/>
      <w:szCs w:val="24"/>
      <w:u w:val="none"/>
    </w:rPr>
  </w:style>
  <w:style w:type="character" w:customStyle="1" w:styleId="16">
    <w:name w:val="font21"/>
    <w:basedOn w:val="10"/>
    <w:qFormat/>
    <w:uiPriority w:val="0"/>
    <w:rPr>
      <w:rFonts w:hint="eastAsia" w:ascii="宋体" w:hAnsi="宋体" w:eastAsia="宋体" w:cs="宋体"/>
      <w:color w:val="000000"/>
      <w:sz w:val="24"/>
      <w:szCs w:val="24"/>
      <w:u w:val="none"/>
    </w:rPr>
  </w:style>
  <w:style w:type="character" w:customStyle="1" w:styleId="17">
    <w:name w:val="font11"/>
    <w:basedOn w:val="10"/>
    <w:qFormat/>
    <w:uiPriority w:val="0"/>
    <w:rPr>
      <w:rFonts w:hint="eastAsia" w:ascii="宋体" w:hAnsi="宋体" w:eastAsia="宋体" w:cs="宋体"/>
      <w:color w:val="000000"/>
      <w:sz w:val="22"/>
      <w:szCs w:val="22"/>
      <w:u w:val="none"/>
    </w:rPr>
  </w:style>
  <w:style w:type="character" w:customStyle="1" w:styleId="18">
    <w:name w:val="font41"/>
    <w:basedOn w:val="10"/>
    <w:qFormat/>
    <w:uiPriority w:val="0"/>
    <w:rPr>
      <w:rFonts w:hint="eastAsia" w:ascii="宋体" w:hAnsi="宋体" w:eastAsia="宋体" w:cs="宋体"/>
      <w:color w:val="000000"/>
      <w:sz w:val="24"/>
      <w:szCs w:val="24"/>
      <w:u w:val="none"/>
    </w:rPr>
  </w:style>
  <w:style w:type="character" w:customStyle="1" w:styleId="19">
    <w:name w:val="font3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7800</Words>
  <Characters>8017</Characters>
  <Lines>0</Lines>
  <Paragraphs>0</Paragraphs>
  <TotalTime>8</TotalTime>
  <ScaleCrop>false</ScaleCrop>
  <LinksUpToDate>false</LinksUpToDate>
  <CharactersWithSpaces>9036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2022-09-10T02:12:00Z</dcterms:created>
  <dc:creator>Administrator</dc:creator>
  <cp:lastModifiedBy>dxal</cp:lastModifiedBy>
  <cp:lastPrinted>2024-10-30T16:47:00Z</cp:lastPrinted>
  <dcterms:modified xsi:type="dcterms:W3CDTF">2024-10-30T09:14:35Z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ECFADEFEB48E7539ED6B8A642012E5D4</vt:lpwstr>
  </property>
</Properties>
</file>