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E310DB">
      <w:pPr>
        <w:adjustRightInd w:val="0"/>
        <w:snapToGrid w:val="0"/>
        <w:spacing w:line="360" w:lineRule="auto"/>
        <w:jc w:val="center"/>
        <w:rPr>
          <w:rFonts w:ascii="Times New Roman" w:hAnsi="Times New Roman" w:eastAsiaTheme="minorEastAsia"/>
          <w:sz w:val="48"/>
          <w:szCs w:val="48"/>
        </w:rPr>
      </w:pPr>
    </w:p>
    <w:p w14:paraId="276657FA">
      <w:pPr>
        <w:adjustRightInd w:val="0"/>
        <w:snapToGrid w:val="0"/>
        <w:spacing w:line="360" w:lineRule="auto"/>
        <w:jc w:val="center"/>
        <w:rPr>
          <w:rFonts w:ascii="Times New Roman" w:hAnsi="Times New Roman" w:eastAsiaTheme="minorEastAsia"/>
          <w:color w:val="auto"/>
          <w:sz w:val="44"/>
          <w:szCs w:val="44"/>
        </w:rPr>
      </w:pPr>
      <w:r>
        <w:rPr>
          <w:rFonts w:ascii="Times New Roman" w:hAnsi="Times New Roman" w:eastAsiaTheme="minorEastAsia"/>
          <w:color w:val="auto"/>
          <w:sz w:val="44"/>
          <w:szCs w:val="44"/>
        </w:rPr>
        <w:t>呼玛县2024年历史遗留废弃</w:t>
      </w:r>
    </w:p>
    <w:p w14:paraId="5BEA394D">
      <w:pPr>
        <w:adjustRightInd w:val="0"/>
        <w:snapToGrid w:val="0"/>
        <w:spacing w:line="360" w:lineRule="auto"/>
        <w:jc w:val="center"/>
        <w:rPr>
          <w:rFonts w:ascii="Times New Roman" w:hAnsi="Times New Roman" w:eastAsiaTheme="minorEastAsia"/>
          <w:color w:val="auto"/>
          <w:sz w:val="44"/>
          <w:szCs w:val="44"/>
        </w:rPr>
      </w:pPr>
      <w:r>
        <w:rPr>
          <w:rFonts w:ascii="Times New Roman" w:hAnsi="Times New Roman" w:eastAsiaTheme="minorEastAsia"/>
          <w:color w:val="auto"/>
          <w:sz w:val="44"/>
          <w:szCs w:val="44"/>
        </w:rPr>
        <w:t>矿山图斑自然修复验收认定意见书</w:t>
      </w:r>
    </w:p>
    <w:p w14:paraId="43A535E2">
      <w:pPr>
        <w:jc w:val="center"/>
        <w:rPr>
          <w:rFonts w:ascii="Times New Roman" w:hAnsi="Times New Roman" w:eastAsiaTheme="minorEastAsia"/>
          <w:sz w:val="32"/>
          <w:szCs w:val="32"/>
        </w:rPr>
      </w:pPr>
      <w:r>
        <w:rPr>
          <w:rFonts w:ascii="Times New Roman" w:hAnsi="Times New Roman" w:eastAsiaTheme="minorEastAsia"/>
          <w:sz w:val="32"/>
          <w:szCs w:val="32"/>
        </w:rPr>
        <w:t>（CT2327212016000062001</w:t>
      </w:r>
      <w:r>
        <w:rPr>
          <w:rFonts w:hint="eastAsia" w:ascii="Times New Roman" w:hAnsi="Times New Roman" w:eastAsiaTheme="minorEastAsia"/>
          <w:sz w:val="32"/>
          <w:szCs w:val="32"/>
          <w:lang w:eastAsia="zh-CN"/>
        </w:rPr>
        <w:t>、</w:t>
      </w:r>
      <w:r>
        <w:rPr>
          <w:rFonts w:ascii="Times New Roman" w:hAnsi="Times New Roman" w:eastAsiaTheme="minorEastAsia"/>
          <w:sz w:val="32"/>
          <w:szCs w:val="32"/>
        </w:rPr>
        <w:t>CT2327212016000052001）</w:t>
      </w:r>
    </w:p>
    <w:p w14:paraId="3411030F">
      <w:pPr>
        <w:ind w:left="1058" w:leftChars="504"/>
        <w:rPr>
          <w:rFonts w:ascii="Times New Roman" w:hAnsi="Times New Roman" w:eastAsiaTheme="minorEastAsia"/>
          <w:sz w:val="32"/>
          <w:szCs w:val="32"/>
        </w:rPr>
      </w:pPr>
    </w:p>
    <w:p w14:paraId="0BAF15C4">
      <w:pPr>
        <w:ind w:left="1058" w:leftChars="504"/>
        <w:rPr>
          <w:rFonts w:ascii="Times New Roman" w:hAnsi="Times New Roman" w:eastAsiaTheme="minorEastAsia"/>
          <w:sz w:val="32"/>
          <w:szCs w:val="32"/>
        </w:rPr>
      </w:pPr>
    </w:p>
    <w:p w14:paraId="56E2C656">
      <w:pPr>
        <w:ind w:left="1058" w:leftChars="504"/>
        <w:rPr>
          <w:rFonts w:ascii="Times New Roman" w:hAnsi="Times New Roman" w:eastAsiaTheme="minorEastAsia"/>
          <w:sz w:val="32"/>
          <w:szCs w:val="32"/>
        </w:rPr>
      </w:pPr>
    </w:p>
    <w:p w14:paraId="54DFABAE">
      <w:pPr>
        <w:ind w:left="1058" w:leftChars="504"/>
        <w:rPr>
          <w:rFonts w:ascii="Times New Roman" w:hAnsi="Times New Roman" w:eastAsiaTheme="minorEastAsia"/>
          <w:sz w:val="32"/>
          <w:szCs w:val="32"/>
        </w:rPr>
      </w:pPr>
    </w:p>
    <w:p w14:paraId="23CA1545">
      <w:pPr>
        <w:ind w:left="1058" w:leftChars="504"/>
        <w:rPr>
          <w:rFonts w:hint="default" w:ascii="Times New Roman" w:hAnsi="Times New Roman" w:eastAsiaTheme="minorEastAsia"/>
          <w:b/>
          <w:bCs/>
          <w:color w:val="C00000"/>
          <w:sz w:val="32"/>
          <w:szCs w:val="32"/>
          <w:lang w:val="en-US" w:eastAsia="zh-CN"/>
        </w:rPr>
      </w:pPr>
    </w:p>
    <w:p w14:paraId="1A9EB07D">
      <w:pPr>
        <w:rPr>
          <w:rFonts w:ascii="Times New Roman" w:hAnsi="Times New Roman" w:eastAsiaTheme="minorEastAsia"/>
          <w:sz w:val="32"/>
          <w:szCs w:val="32"/>
        </w:rPr>
      </w:pPr>
    </w:p>
    <w:p w14:paraId="54E57CA2">
      <w:pPr>
        <w:ind w:left="1058" w:leftChars="504"/>
        <w:rPr>
          <w:rFonts w:ascii="Times New Roman" w:hAnsi="Times New Roman" w:eastAsiaTheme="minorEastAsia"/>
          <w:sz w:val="32"/>
          <w:szCs w:val="32"/>
        </w:rPr>
      </w:pPr>
    </w:p>
    <w:p w14:paraId="02EB28CC">
      <w:pPr>
        <w:rPr>
          <w:rFonts w:ascii="Times New Roman" w:hAnsi="Times New Roman" w:eastAsiaTheme="minorEastAsia"/>
          <w:sz w:val="32"/>
          <w:szCs w:val="32"/>
        </w:rPr>
      </w:pPr>
    </w:p>
    <w:p w14:paraId="1288DAB3">
      <w:pPr>
        <w:pStyle w:val="4"/>
        <w:rPr>
          <w:rFonts w:ascii="Times New Roman" w:hAnsi="Times New Roman" w:cs="Times New Roman"/>
        </w:rPr>
      </w:pPr>
    </w:p>
    <w:p w14:paraId="273ACE89">
      <w:pPr>
        <w:pStyle w:val="4"/>
        <w:rPr>
          <w:rFonts w:ascii="Times New Roman" w:hAnsi="Times New Roman" w:cs="Times New Roman"/>
        </w:rPr>
      </w:pPr>
    </w:p>
    <w:p w14:paraId="2F2B5278">
      <w:pPr>
        <w:rPr>
          <w:rFonts w:ascii="Times New Roman" w:hAnsi="Times New Roman" w:cs="Times New Roman"/>
        </w:rPr>
      </w:pPr>
    </w:p>
    <w:p w14:paraId="50A90955">
      <w:pPr>
        <w:rPr>
          <w:rFonts w:ascii="Times New Roman" w:hAnsi="Times New Roman" w:cs="Times New Roman"/>
        </w:rPr>
      </w:pPr>
    </w:p>
    <w:p w14:paraId="6907B60B">
      <w:pPr>
        <w:rPr>
          <w:rFonts w:ascii="Times New Roman" w:hAnsi="Times New Roman" w:cs="Times New Roman"/>
        </w:rPr>
      </w:pPr>
    </w:p>
    <w:p w14:paraId="16122F85">
      <w:pPr>
        <w:rPr>
          <w:rFonts w:ascii="Times New Roman" w:hAnsi="Times New Roman" w:eastAsiaTheme="minorEastAsia"/>
          <w:sz w:val="32"/>
          <w:szCs w:val="32"/>
        </w:rPr>
      </w:pPr>
    </w:p>
    <w:p w14:paraId="52B5BB4F">
      <w:pPr>
        <w:jc w:val="center"/>
        <w:rPr>
          <w:rFonts w:ascii="Times New Roman" w:hAnsi="Times New Roman" w:eastAsiaTheme="minorEastAsia"/>
          <w:sz w:val="32"/>
          <w:szCs w:val="32"/>
        </w:rPr>
      </w:pPr>
      <w:r>
        <w:rPr>
          <w:rFonts w:ascii="Times New Roman" w:hAnsi="Times New Roman" w:eastAsiaTheme="minorEastAsia"/>
          <w:sz w:val="32"/>
          <w:szCs w:val="32"/>
        </w:rPr>
        <w:t>大兴安岭地区行政公署自然资源局</w:t>
      </w:r>
    </w:p>
    <w:p w14:paraId="20DFB62B">
      <w:pPr>
        <w:jc w:val="center"/>
        <w:rPr>
          <w:rFonts w:ascii="Times New Roman" w:hAnsi="Times New Roman" w:eastAsiaTheme="minorEastAsia"/>
          <w:sz w:val="32"/>
          <w:szCs w:val="32"/>
        </w:rPr>
      </w:pPr>
      <w:r>
        <w:rPr>
          <w:rFonts w:ascii="Times New Roman" w:hAnsi="Times New Roman" w:eastAsiaTheme="minorEastAsia"/>
          <w:sz w:val="32"/>
          <w:szCs w:val="32"/>
        </w:rPr>
        <w:t>2024年9月</w:t>
      </w:r>
      <w:r>
        <w:rPr>
          <w:rFonts w:hint="eastAsia" w:ascii="Times New Roman" w:hAnsi="Times New Roman" w:eastAsiaTheme="minorEastAsia"/>
          <w:sz w:val="32"/>
          <w:szCs w:val="32"/>
        </w:rPr>
        <w:t>23</w:t>
      </w:r>
      <w:r>
        <w:rPr>
          <w:rFonts w:ascii="Times New Roman" w:hAnsi="Times New Roman" w:eastAsiaTheme="minorEastAsia"/>
          <w:sz w:val="32"/>
          <w:szCs w:val="32"/>
        </w:rPr>
        <w:t>日</w:t>
      </w:r>
    </w:p>
    <w:p w14:paraId="415C5BC0">
      <w:pPr>
        <w:ind w:left="1058" w:leftChars="504"/>
        <w:rPr>
          <w:rFonts w:ascii="Times New Roman" w:hAnsi="Times New Roman" w:eastAsiaTheme="minorEastAsia"/>
          <w:sz w:val="32"/>
          <w:szCs w:val="32"/>
        </w:rPr>
      </w:pPr>
      <w:r>
        <w:rPr>
          <w:rFonts w:ascii="Times New Roman" w:hAnsi="Times New Roman" w:eastAsiaTheme="minorEastAsia"/>
          <w:sz w:val="32"/>
          <w:szCs w:val="32"/>
        </w:rPr>
        <w:t>           </w:t>
      </w:r>
    </w:p>
    <w:p w14:paraId="0F389D35">
      <w:pPr>
        <w:ind w:left="1058" w:leftChars="504"/>
        <w:rPr>
          <w:rFonts w:ascii="Times New Roman" w:hAnsi="Times New Roman" w:eastAsiaTheme="minorEastAsia"/>
          <w:sz w:val="32"/>
          <w:szCs w:val="32"/>
        </w:rPr>
      </w:pPr>
    </w:p>
    <w:tbl>
      <w:tblPr>
        <w:tblStyle w:val="8"/>
        <w:tblW w:w="88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15" w:type="dxa"/>
          <w:left w:w="15" w:type="dxa"/>
          <w:bottom w:w="15" w:type="dxa"/>
          <w:right w:w="15" w:type="dxa"/>
        </w:tblCellMar>
      </w:tblPr>
      <w:tblGrid>
        <w:gridCol w:w="8816"/>
      </w:tblGrid>
      <w:tr w14:paraId="68142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rHeight w:val="866" w:hRule="atLeast"/>
          <w:jc w:val="center"/>
        </w:trPr>
        <w:tc>
          <w:tcPr>
            <w:tcW w:w="8816" w:type="dxa"/>
            <w:tcBorders>
              <w:tl2br w:val="nil"/>
              <w:tr2bl w:val="nil"/>
            </w:tcBorders>
            <w:shd w:val="clear" w:color="auto" w:fill="FFFFFF"/>
            <w:tcMar>
              <w:top w:w="12" w:type="dxa"/>
              <w:left w:w="12" w:type="dxa"/>
              <w:bottom w:w="0" w:type="dxa"/>
              <w:right w:w="12" w:type="dxa"/>
            </w:tcMar>
            <w:vAlign w:val="center"/>
          </w:tcPr>
          <w:p w14:paraId="09F3C689">
            <w:pPr>
              <w:jc w:val="center"/>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bCs/>
                <w:sz w:val="32"/>
                <w:szCs w:val="32"/>
              </w:rPr>
              <w:t>验收认定意见</w:t>
            </w:r>
          </w:p>
        </w:tc>
      </w:tr>
      <w:tr w14:paraId="0BC26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rHeight w:val="1229" w:hRule="atLeast"/>
          <w:jc w:val="center"/>
        </w:trPr>
        <w:tc>
          <w:tcPr>
            <w:tcW w:w="8816" w:type="dxa"/>
            <w:tcBorders>
              <w:tl2br w:val="nil"/>
              <w:tr2bl w:val="nil"/>
            </w:tcBorders>
            <w:shd w:val="clear" w:color="auto" w:fill="FFFFFF"/>
            <w:tcMar>
              <w:top w:w="12" w:type="dxa"/>
              <w:left w:w="12" w:type="dxa"/>
              <w:bottom w:w="0" w:type="dxa"/>
              <w:right w:w="12" w:type="dxa"/>
            </w:tcMar>
          </w:tcPr>
          <w:p w14:paraId="67FAED81">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一、验收组织情况</w:t>
            </w:r>
            <w:r>
              <w:rPr>
                <w:rFonts w:hint="eastAsia" w:asciiTheme="minorEastAsia" w:hAnsiTheme="minorEastAsia" w:eastAsiaTheme="minorEastAsia" w:cstheme="minorEastAsia"/>
                <w:b w:val="0"/>
                <w:bCs w:val="0"/>
                <w:sz w:val="28"/>
                <w:szCs w:val="28"/>
              </w:rPr>
              <w:tab/>
            </w:r>
          </w:p>
          <w:p w14:paraId="7A01D88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sz w:val="28"/>
                <w:szCs w:val="28"/>
                <w:lang w:eastAsia="zh-Hans"/>
              </w:rPr>
            </w:pPr>
            <w:r>
              <w:rPr>
                <w:rFonts w:hint="eastAsia" w:asciiTheme="minorEastAsia" w:hAnsiTheme="minorEastAsia" w:eastAsiaTheme="minorEastAsia" w:cstheme="minorEastAsia"/>
                <w:b w:val="0"/>
                <w:bCs w:val="0"/>
                <w:sz w:val="28"/>
                <w:szCs w:val="28"/>
                <w:lang w:eastAsia="zh-Hans"/>
              </w:rPr>
              <w:t>2024年9月22日—23日大兴安岭地区行政公署自然资源局组织专家组（名单附后）</w:t>
            </w:r>
            <w:r>
              <w:rPr>
                <w:rFonts w:hint="eastAsia" w:asciiTheme="minorEastAsia" w:hAnsiTheme="minorEastAsia" w:eastAsiaTheme="minorEastAsia" w:cstheme="minorEastAsia"/>
                <w:b w:val="0"/>
                <w:bCs w:val="0"/>
                <w:sz w:val="28"/>
                <w:szCs w:val="28"/>
                <w:lang w:val="en-US" w:eastAsia="zh-CN"/>
              </w:rPr>
              <w:t>在</w:t>
            </w:r>
            <w:r>
              <w:rPr>
                <w:rFonts w:hint="eastAsia" w:asciiTheme="minorEastAsia" w:hAnsiTheme="minorEastAsia" w:eastAsiaTheme="minorEastAsia" w:cstheme="minorEastAsia"/>
                <w:b w:val="0"/>
                <w:bCs w:val="0"/>
                <w:sz w:val="28"/>
                <w:szCs w:val="28"/>
                <w:lang w:eastAsia="zh-Hans"/>
              </w:rPr>
              <w:t>呼玛县，对</w:t>
            </w:r>
            <w:r>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t>呼玛县红色边疆历史遗留废弃矿山CT2327212016000062001图斑</w:t>
            </w:r>
            <w:r>
              <w:rPr>
                <w:rFonts w:hint="eastAsia" w:asciiTheme="minorEastAsia" w:hAnsiTheme="minorEastAsia" w:eastAsiaTheme="minorEastAsia" w:cstheme="minorEastAsia"/>
                <w:b w:val="0"/>
                <w:bCs w:val="0"/>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t>呼玛县东大沟金矿历史遗留废弃矿山</w:t>
            </w:r>
            <w:r>
              <w:rPr>
                <w:rFonts w:hint="eastAsia" w:asciiTheme="minorEastAsia" w:hAnsiTheme="minorEastAsia" w:eastAsiaTheme="minorEastAsia" w:cstheme="minorEastAsia"/>
                <w:b w:val="0"/>
                <w:bCs w:val="0"/>
                <w:sz w:val="28"/>
                <w:szCs w:val="28"/>
              </w:rPr>
              <w:t>CT2327212016000052001</w:t>
            </w:r>
            <w:r>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t>图斑</w:t>
            </w:r>
            <w:r>
              <w:rPr>
                <w:rFonts w:hint="eastAsia" w:asciiTheme="minorEastAsia" w:hAnsiTheme="minorEastAsia" w:eastAsiaTheme="minorEastAsia" w:cstheme="minorEastAsia"/>
                <w:b w:val="0"/>
                <w:bCs w:val="0"/>
                <w:sz w:val="28"/>
                <w:szCs w:val="28"/>
                <w:lang w:eastAsia="zh-Hans"/>
              </w:rPr>
              <w:t>自然修复</w:t>
            </w:r>
            <w:r>
              <w:rPr>
                <w:rFonts w:hint="eastAsia" w:asciiTheme="minorEastAsia" w:hAnsiTheme="minorEastAsia" w:eastAsiaTheme="minorEastAsia" w:cstheme="minorEastAsia"/>
                <w:b w:val="0"/>
                <w:bCs w:val="0"/>
                <w:sz w:val="28"/>
                <w:szCs w:val="28"/>
                <w:lang w:val="en-US" w:eastAsia="zh-CN"/>
              </w:rPr>
              <w:t>成果</w:t>
            </w:r>
            <w:r>
              <w:rPr>
                <w:rFonts w:hint="eastAsia" w:asciiTheme="minorEastAsia" w:hAnsiTheme="minorEastAsia" w:eastAsiaTheme="minorEastAsia" w:cstheme="minorEastAsia"/>
                <w:b w:val="0"/>
                <w:bCs w:val="0"/>
                <w:sz w:val="28"/>
                <w:szCs w:val="28"/>
                <w:lang w:eastAsia="zh-Hans"/>
              </w:rPr>
              <w:t>进行</w:t>
            </w:r>
            <w:r>
              <w:rPr>
                <w:rFonts w:hint="eastAsia" w:asciiTheme="minorEastAsia" w:hAnsiTheme="minorEastAsia" w:eastAsiaTheme="minorEastAsia" w:cstheme="minorEastAsia"/>
                <w:b w:val="0"/>
                <w:bCs w:val="0"/>
                <w:sz w:val="28"/>
                <w:szCs w:val="28"/>
                <w:lang w:val="en-US" w:eastAsia="zh-CN"/>
              </w:rPr>
              <w:t>了</w:t>
            </w:r>
            <w:r>
              <w:rPr>
                <w:rFonts w:hint="eastAsia" w:asciiTheme="minorEastAsia" w:hAnsiTheme="minorEastAsia" w:eastAsiaTheme="minorEastAsia" w:cstheme="minorEastAsia"/>
                <w:b w:val="0"/>
                <w:bCs w:val="0"/>
                <w:sz w:val="28"/>
                <w:szCs w:val="28"/>
                <w:lang w:eastAsia="zh-Hans"/>
              </w:rPr>
              <w:t>验收。验收工作依据</w:t>
            </w:r>
            <w:r>
              <w:rPr>
                <w:rFonts w:hint="eastAsia" w:asciiTheme="minorEastAsia" w:hAnsiTheme="minorEastAsia" w:eastAsiaTheme="minorEastAsia" w:cstheme="minorEastAsia"/>
                <w:b w:val="0"/>
                <w:bCs w:val="0"/>
                <w:sz w:val="28"/>
                <w:szCs w:val="28"/>
              </w:rPr>
              <w:t>《自然资源部办公厅关于开展历史遗留矿山图斑变更核查的通知》（2023年3月28日）和黑龙江省自然资源厅和黑龙江省自然资源厅、黑龙江省生态环境厅、黑龙江省林业和草原局文件</w:t>
            </w:r>
            <w:r>
              <w:rPr>
                <w:rFonts w:hint="eastAsia" w:asciiTheme="minorEastAsia" w:hAnsiTheme="minorEastAsia" w:eastAsiaTheme="minorEastAsia" w:cstheme="minorEastAsia"/>
                <w:b w:val="0"/>
                <w:bCs w:val="0"/>
                <w:sz w:val="28"/>
                <w:szCs w:val="28"/>
                <w:lang w:eastAsia="zh-Hans"/>
              </w:rPr>
              <w:t>（黑</w:t>
            </w:r>
            <w:r>
              <w:rPr>
                <w:rFonts w:hint="eastAsia" w:asciiTheme="minorEastAsia" w:hAnsiTheme="minorEastAsia" w:eastAsiaTheme="minorEastAsia" w:cstheme="minorEastAsia"/>
                <w:b w:val="0"/>
                <w:bCs w:val="0"/>
                <w:sz w:val="28"/>
                <w:szCs w:val="28"/>
              </w:rPr>
              <w:t>自然</w:t>
            </w:r>
            <w:r>
              <w:rPr>
                <w:rFonts w:hint="eastAsia" w:asciiTheme="minorEastAsia" w:hAnsiTheme="minorEastAsia" w:eastAsiaTheme="minorEastAsia" w:cstheme="minorEastAsia"/>
                <w:b w:val="0"/>
                <w:bCs w:val="0"/>
                <w:sz w:val="28"/>
                <w:szCs w:val="28"/>
                <w:lang w:eastAsia="zh-Hans"/>
              </w:rPr>
              <w:t>资[20</w:t>
            </w:r>
            <w:r>
              <w:rPr>
                <w:rFonts w:hint="eastAsia" w:asciiTheme="minorEastAsia" w:hAnsiTheme="minorEastAsia" w:eastAsiaTheme="minorEastAsia" w:cstheme="minorEastAsia"/>
                <w:b w:val="0"/>
                <w:bCs w:val="0"/>
                <w:sz w:val="28"/>
                <w:szCs w:val="28"/>
              </w:rPr>
              <w:t>23</w:t>
            </w:r>
            <w:r>
              <w:rPr>
                <w:rFonts w:hint="eastAsia" w:asciiTheme="minorEastAsia" w:hAnsiTheme="minorEastAsia" w:eastAsiaTheme="minorEastAsia" w:cstheme="minorEastAsia"/>
                <w:b w:val="0"/>
                <w:bCs w:val="0"/>
                <w:sz w:val="28"/>
                <w:szCs w:val="28"/>
                <w:lang w:eastAsia="zh-Hans"/>
              </w:rPr>
              <w:t>]</w:t>
            </w:r>
            <w:r>
              <w:rPr>
                <w:rFonts w:hint="eastAsia" w:asciiTheme="minorEastAsia" w:hAnsiTheme="minorEastAsia" w:eastAsiaTheme="minorEastAsia" w:cstheme="minorEastAsia"/>
                <w:b w:val="0"/>
                <w:bCs w:val="0"/>
                <w:sz w:val="28"/>
                <w:szCs w:val="28"/>
              </w:rPr>
              <w:t>34</w:t>
            </w:r>
            <w:r>
              <w:rPr>
                <w:rFonts w:hint="eastAsia" w:asciiTheme="minorEastAsia" w:hAnsiTheme="minorEastAsia" w:eastAsiaTheme="minorEastAsia" w:cstheme="minorEastAsia"/>
                <w:b w:val="0"/>
                <w:bCs w:val="0"/>
                <w:sz w:val="28"/>
                <w:szCs w:val="28"/>
                <w:lang w:eastAsia="zh-Hans"/>
              </w:rPr>
              <w:t>号）</w:t>
            </w:r>
            <w:r>
              <w:rPr>
                <w:rFonts w:hint="eastAsia" w:asciiTheme="minorEastAsia" w:hAnsiTheme="minorEastAsia" w:eastAsiaTheme="minorEastAsia" w:cstheme="minorEastAsia"/>
                <w:b w:val="0"/>
                <w:bCs w:val="0"/>
                <w:sz w:val="28"/>
                <w:szCs w:val="28"/>
              </w:rPr>
              <w:t>关于印发《黑龙江省历史遗留矿山生态修复验收管理办法（试行）》（简称管理办法）的</w:t>
            </w:r>
            <w:r>
              <w:rPr>
                <w:rFonts w:hint="eastAsia" w:asciiTheme="minorEastAsia" w:hAnsiTheme="minorEastAsia" w:eastAsiaTheme="minorEastAsia" w:cstheme="minorEastAsia"/>
                <w:b w:val="0"/>
                <w:bCs w:val="0"/>
                <w:sz w:val="28"/>
                <w:szCs w:val="28"/>
                <w:lang w:eastAsia="zh-Hans"/>
              </w:rPr>
              <w:t>通知</w:t>
            </w:r>
            <w:bookmarkStart w:id="0" w:name="_Toc20741"/>
            <w:bookmarkStart w:id="1" w:name="_Toc3159"/>
            <w:r>
              <w:rPr>
                <w:rFonts w:hint="eastAsia" w:asciiTheme="minorEastAsia" w:hAnsiTheme="minorEastAsia" w:eastAsiaTheme="minorEastAsia" w:cstheme="minorEastAsia"/>
                <w:b w:val="0"/>
                <w:bCs w:val="0"/>
                <w:sz w:val="28"/>
                <w:szCs w:val="28"/>
                <w:lang w:eastAsia="zh-Hans"/>
              </w:rPr>
              <w:t>以及</w:t>
            </w:r>
            <w:r>
              <w:rPr>
                <w:rFonts w:hint="eastAsia" w:asciiTheme="minorEastAsia" w:hAnsiTheme="minorEastAsia" w:eastAsiaTheme="minorEastAsia" w:cstheme="minorEastAsia"/>
                <w:b w:val="0"/>
                <w:bCs w:val="0"/>
                <w:sz w:val="28"/>
                <w:szCs w:val="28"/>
              </w:rPr>
              <w:t>《</w:t>
            </w:r>
            <w:r>
              <w:rPr>
                <w:rFonts w:hint="eastAsia" w:asciiTheme="minorEastAsia" w:hAnsiTheme="minorEastAsia" w:eastAsiaTheme="minorEastAsia" w:cstheme="minorEastAsia"/>
                <w:b w:val="0"/>
                <w:bCs w:val="0"/>
                <w:sz w:val="28"/>
                <w:szCs w:val="28"/>
                <w:lang w:eastAsia="zh-Hans"/>
              </w:rPr>
              <w:t>呼玛县2024年历史遗留废弃矿山生态修复图斑</w:t>
            </w:r>
            <w:r>
              <w:rPr>
                <w:rFonts w:hint="eastAsia" w:asciiTheme="minorEastAsia" w:hAnsiTheme="minorEastAsia" w:eastAsiaTheme="minorEastAsia" w:cstheme="minorEastAsia"/>
                <w:b w:val="0"/>
                <w:bCs w:val="0"/>
                <w:sz w:val="28"/>
                <w:szCs w:val="28"/>
              </w:rPr>
              <w:t>CT2327212016000062001</w:t>
            </w:r>
            <w:r>
              <w:rPr>
                <w:rFonts w:hint="eastAsia" w:asciiTheme="minorEastAsia" w:hAnsiTheme="minorEastAsia" w:eastAsiaTheme="minorEastAsia" w:cstheme="minorEastAsia"/>
                <w:b w:val="0"/>
                <w:bCs w:val="0"/>
                <w:sz w:val="28"/>
                <w:szCs w:val="28"/>
                <w:lang w:eastAsia="zh-Hans"/>
              </w:rPr>
              <w:t>现状调查报告</w:t>
            </w:r>
            <w:bookmarkEnd w:id="0"/>
            <w:bookmarkEnd w:id="1"/>
            <w:r>
              <w:rPr>
                <w:rFonts w:hint="eastAsia" w:asciiTheme="minorEastAsia" w:hAnsiTheme="minorEastAsia" w:eastAsiaTheme="minorEastAsia" w:cstheme="minorEastAsia"/>
                <w:b w:val="0"/>
                <w:bCs w:val="0"/>
                <w:sz w:val="28"/>
                <w:szCs w:val="28"/>
                <w:lang w:eastAsia="zh-Hans"/>
              </w:rPr>
              <w:t>》</w:t>
            </w:r>
            <w:r>
              <w:rPr>
                <w:rFonts w:hint="eastAsia" w:asciiTheme="minorEastAsia" w:hAnsiTheme="minorEastAsia" w:eastAsiaTheme="minorEastAsia" w:cstheme="minorEastAsia"/>
                <w:b w:val="0"/>
                <w:bCs w:val="0"/>
                <w:sz w:val="28"/>
                <w:szCs w:val="28"/>
                <w:lang w:eastAsia="zh-CN"/>
              </w:rPr>
              <w:t>、</w:t>
            </w:r>
            <w:r>
              <w:rPr>
                <w:rFonts w:hint="eastAsia" w:asciiTheme="minorEastAsia" w:hAnsiTheme="minorEastAsia" w:eastAsiaTheme="minorEastAsia" w:cstheme="minorEastAsia"/>
                <w:b w:val="0"/>
                <w:bCs w:val="0"/>
                <w:sz w:val="28"/>
                <w:szCs w:val="28"/>
                <w:lang w:eastAsia="zh-Hans"/>
              </w:rPr>
              <w:t>《呼玛县2024年历史遗留废弃矿山生态修复图斑CT2327212016000052001现状调查报告》（黑龙江广森测绘科技股份有限公司，2024年8月）</w:t>
            </w:r>
            <w:r>
              <w:rPr>
                <w:rFonts w:hint="eastAsia" w:asciiTheme="minorEastAsia" w:hAnsiTheme="minorEastAsia" w:eastAsiaTheme="minorEastAsia" w:cstheme="minorEastAsia"/>
                <w:b w:val="0"/>
                <w:bCs w:val="0"/>
                <w:sz w:val="28"/>
                <w:szCs w:val="28"/>
              </w:rPr>
              <w:t>及相关要求</w:t>
            </w:r>
            <w:r>
              <w:rPr>
                <w:rFonts w:hint="eastAsia" w:asciiTheme="minorEastAsia" w:hAnsiTheme="minorEastAsia" w:eastAsiaTheme="minorEastAsia" w:cstheme="minorEastAsia"/>
                <w:b w:val="0"/>
                <w:bCs w:val="0"/>
                <w:sz w:val="28"/>
                <w:szCs w:val="28"/>
                <w:lang w:eastAsia="zh-Hans"/>
              </w:rPr>
              <w:t>进行。</w:t>
            </w:r>
          </w:p>
          <w:p w14:paraId="33DBA129">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大兴安岭地区行政公署自然资源局、生态环境局、林业和草原局和呼玛县自然资源局及黑龙江广森测绘科技股份有限公司有</w:t>
            </w:r>
            <w:r>
              <w:rPr>
                <w:rFonts w:hint="eastAsia" w:asciiTheme="minorEastAsia" w:hAnsiTheme="minorEastAsia" w:eastAsiaTheme="minorEastAsia" w:cstheme="minorEastAsia"/>
                <w:b w:val="0"/>
                <w:bCs w:val="0"/>
                <w:sz w:val="28"/>
                <w:szCs w:val="28"/>
                <w:lang w:eastAsia="zh-Hans"/>
              </w:rPr>
              <w:t>关领导及人员</w:t>
            </w:r>
            <w:r>
              <w:rPr>
                <w:rFonts w:hint="eastAsia" w:asciiTheme="minorEastAsia" w:hAnsiTheme="minorEastAsia" w:eastAsiaTheme="minorEastAsia" w:cstheme="minorEastAsia"/>
                <w:b w:val="0"/>
                <w:bCs w:val="0"/>
                <w:sz w:val="28"/>
                <w:szCs w:val="28"/>
              </w:rPr>
              <w:t>、</w:t>
            </w:r>
            <w:r>
              <w:rPr>
                <w:rFonts w:hint="eastAsia" w:asciiTheme="minorEastAsia" w:hAnsiTheme="minorEastAsia" w:eastAsiaTheme="minorEastAsia" w:cstheme="minorEastAsia"/>
                <w:b w:val="0"/>
                <w:bCs w:val="0"/>
                <w:sz w:val="28"/>
                <w:szCs w:val="28"/>
                <w:lang w:eastAsia="zh-Hans"/>
              </w:rPr>
              <w:t>验收专家组成员</w:t>
            </w:r>
            <w:r>
              <w:rPr>
                <w:rFonts w:hint="eastAsia" w:asciiTheme="minorEastAsia" w:hAnsiTheme="minorEastAsia" w:eastAsiaTheme="minorEastAsia" w:cstheme="minorEastAsia"/>
                <w:b w:val="0"/>
                <w:bCs w:val="0"/>
                <w:sz w:val="28"/>
                <w:szCs w:val="28"/>
              </w:rPr>
              <w:t>参加了验收，</w:t>
            </w:r>
            <w:r>
              <w:rPr>
                <w:rFonts w:hint="eastAsia" w:asciiTheme="minorEastAsia" w:hAnsiTheme="minorEastAsia" w:eastAsiaTheme="minorEastAsia" w:cstheme="minorEastAsia"/>
                <w:b w:val="0"/>
                <w:bCs w:val="0"/>
                <w:sz w:val="28"/>
                <w:szCs w:val="28"/>
                <w:lang w:eastAsia="zh-Hans"/>
              </w:rPr>
              <w:t>采取“听、看、查、议”的方式进行</w:t>
            </w:r>
            <w:r>
              <w:rPr>
                <w:rFonts w:hint="eastAsia" w:asciiTheme="minorEastAsia" w:hAnsiTheme="minorEastAsia" w:eastAsiaTheme="minorEastAsia" w:cstheme="minorEastAsia"/>
                <w:b w:val="0"/>
                <w:bCs w:val="0"/>
                <w:sz w:val="28"/>
                <w:szCs w:val="28"/>
              </w:rPr>
              <w:t>。</w:t>
            </w:r>
            <w:r>
              <w:rPr>
                <w:rFonts w:hint="eastAsia" w:asciiTheme="minorEastAsia" w:hAnsiTheme="minorEastAsia" w:eastAsiaTheme="minorEastAsia" w:cstheme="minorEastAsia"/>
                <w:b w:val="0"/>
                <w:bCs w:val="0"/>
                <w:sz w:val="28"/>
                <w:szCs w:val="28"/>
                <w:lang w:eastAsia="zh-Hans"/>
              </w:rPr>
              <w:t>专家组成员通过</w:t>
            </w:r>
            <w:r>
              <w:rPr>
                <w:rFonts w:hint="eastAsia" w:asciiTheme="minorEastAsia" w:hAnsiTheme="minorEastAsia" w:eastAsiaTheme="minorEastAsia" w:cstheme="minorEastAsia"/>
                <w:b w:val="0"/>
                <w:bCs w:val="0"/>
                <w:sz w:val="28"/>
                <w:szCs w:val="28"/>
              </w:rPr>
              <w:t>听取</w:t>
            </w:r>
            <w:r>
              <w:rPr>
                <w:rFonts w:hint="eastAsia" w:asciiTheme="minorEastAsia" w:hAnsiTheme="minorEastAsia" w:eastAsiaTheme="minorEastAsia" w:cstheme="minorEastAsia"/>
                <w:b w:val="0"/>
                <w:bCs w:val="0"/>
                <w:sz w:val="28"/>
                <w:szCs w:val="28"/>
                <w:lang w:val="en-US" w:eastAsia="zh-CN"/>
              </w:rPr>
              <w:t>2个</w:t>
            </w:r>
            <w:r>
              <w:rPr>
                <w:rFonts w:hint="eastAsia" w:asciiTheme="minorEastAsia" w:hAnsiTheme="minorEastAsia" w:eastAsiaTheme="minorEastAsia" w:cstheme="minorEastAsia"/>
                <w:b w:val="0"/>
                <w:bCs w:val="0"/>
                <w:sz w:val="28"/>
                <w:szCs w:val="28"/>
              </w:rPr>
              <w:t>历史遗留废弃矿山图斑自然修复相关情况的汇报、</w:t>
            </w:r>
            <w:r>
              <w:rPr>
                <w:rFonts w:hint="eastAsia" w:asciiTheme="minorEastAsia" w:hAnsiTheme="minorEastAsia" w:eastAsiaTheme="minorEastAsia" w:cstheme="minorEastAsia"/>
                <w:b w:val="0"/>
                <w:bCs w:val="0"/>
                <w:sz w:val="28"/>
                <w:szCs w:val="28"/>
                <w:lang w:eastAsia="zh-Hans"/>
              </w:rPr>
              <w:t>实地查看</w:t>
            </w:r>
            <w:r>
              <w:rPr>
                <w:rFonts w:hint="eastAsia" w:asciiTheme="minorEastAsia" w:hAnsiTheme="minorEastAsia" w:eastAsiaTheme="minorEastAsia" w:cstheme="minorEastAsia"/>
                <w:b w:val="0"/>
                <w:bCs w:val="0"/>
                <w:sz w:val="28"/>
                <w:szCs w:val="28"/>
              </w:rPr>
              <w:t>矿山自然修复情况、内业</w:t>
            </w:r>
            <w:r>
              <w:rPr>
                <w:rFonts w:hint="eastAsia" w:asciiTheme="minorEastAsia" w:hAnsiTheme="minorEastAsia" w:eastAsiaTheme="minorEastAsia" w:cstheme="minorEastAsia"/>
                <w:b w:val="0"/>
                <w:bCs w:val="0"/>
                <w:sz w:val="28"/>
                <w:szCs w:val="28"/>
                <w:lang w:eastAsia="zh-Hans"/>
              </w:rPr>
              <w:t>资料</w:t>
            </w:r>
            <w:r>
              <w:rPr>
                <w:rFonts w:hint="eastAsia" w:asciiTheme="minorEastAsia" w:hAnsiTheme="minorEastAsia" w:eastAsiaTheme="minorEastAsia" w:cstheme="minorEastAsia"/>
                <w:b w:val="0"/>
                <w:bCs w:val="0"/>
                <w:sz w:val="28"/>
                <w:szCs w:val="28"/>
              </w:rPr>
              <w:t>检查</w:t>
            </w:r>
            <w:r>
              <w:rPr>
                <w:rFonts w:hint="eastAsia" w:asciiTheme="minorEastAsia" w:hAnsiTheme="minorEastAsia" w:eastAsiaTheme="minorEastAsia" w:cstheme="minorEastAsia"/>
                <w:b w:val="0"/>
                <w:bCs w:val="0"/>
                <w:sz w:val="28"/>
                <w:szCs w:val="28"/>
                <w:lang w:eastAsia="zh-Hans"/>
              </w:rPr>
              <w:t>，就相关问题进行了询问和讨论，在取得共识的基础上，形成验收</w:t>
            </w:r>
            <w:r>
              <w:rPr>
                <w:rFonts w:hint="eastAsia" w:asciiTheme="minorEastAsia" w:hAnsiTheme="minorEastAsia" w:eastAsiaTheme="minorEastAsia" w:cstheme="minorEastAsia"/>
                <w:b w:val="0"/>
                <w:bCs w:val="0"/>
                <w:sz w:val="28"/>
                <w:szCs w:val="28"/>
              </w:rPr>
              <w:t>认定意见书</w:t>
            </w:r>
            <w:r>
              <w:rPr>
                <w:rFonts w:hint="eastAsia" w:asciiTheme="minorEastAsia" w:hAnsiTheme="minorEastAsia" w:eastAsiaTheme="minorEastAsia" w:cstheme="minorEastAsia"/>
                <w:b w:val="0"/>
                <w:bCs w:val="0"/>
                <w:sz w:val="28"/>
                <w:szCs w:val="28"/>
                <w:lang w:eastAsia="zh-Hans"/>
              </w:rPr>
              <w:t>。</w:t>
            </w:r>
          </w:p>
        </w:tc>
      </w:tr>
      <w:tr w14:paraId="2BAC4E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15" w:type="dxa"/>
            <w:left w:w="15" w:type="dxa"/>
            <w:bottom w:w="15" w:type="dxa"/>
            <w:right w:w="15" w:type="dxa"/>
          </w:tblCellMar>
        </w:tblPrEx>
        <w:trPr>
          <w:trHeight w:val="4344" w:hRule="atLeast"/>
          <w:jc w:val="center"/>
        </w:trPr>
        <w:tc>
          <w:tcPr>
            <w:tcW w:w="8816" w:type="dxa"/>
            <w:tcBorders>
              <w:tl2br w:val="nil"/>
              <w:tr2bl w:val="nil"/>
            </w:tcBorders>
            <w:shd w:val="clear" w:color="auto" w:fill="FFFFFF"/>
            <w:tcMar>
              <w:top w:w="12" w:type="dxa"/>
              <w:left w:w="12" w:type="dxa"/>
              <w:bottom w:w="0" w:type="dxa"/>
              <w:right w:w="12" w:type="dxa"/>
            </w:tcMar>
          </w:tcPr>
          <w:p w14:paraId="3B51982A">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二、自然修复矿山基本概况</w:t>
            </w:r>
          </w:p>
          <w:p w14:paraId="4447580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1、矿山地理位置及面积</w:t>
            </w:r>
          </w:p>
          <w:p w14:paraId="0007E28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pPr>
            <w:r>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t>呼玛县红色边疆历史遗留废弃矿山CT2327212016000062001图斑，位于呼玛县十二站，地理坐标：东经125°47′01″—125°42′33″，北纬51°27′54″—51°24′13″，面积242.44公顷。</w:t>
            </w:r>
          </w:p>
          <w:p w14:paraId="6445B70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pPr>
            <w:r>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t>呼玛县东大沟金矿历史遗留废弃矿山</w:t>
            </w:r>
            <w:r>
              <w:rPr>
                <w:rFonts w:hint="eastAsia" w:asciiTheme="minorEastAsia" w:hAnsiTheme="minorEastAsia" w:eastAsiaTheme="minorEastAsia" w:cstheme="minorEastAsia"/>
                <w:b w:val="0"/>
                <w:bCs w:val="0"/>
                <w:sz w:val="28"/>
                <w:szCs w:val="28"/>
              </w:rPr>
              <w:t>CT2327212016000052001</w:t>
            </w:r>
            <w:r>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t>图斑位于呼玛县韩家园林业局，地理坐标：东经125°59′52″～125°57′23″、北纬51°41′47″～51°36′25″</w:t>
            </w:r>
            <w:r>
              <w:rPr>
                <w:rFonts w:hint="eastAsia" w:asciiTheme="minorEastAsia" w:hAnsiTheme="minorEastAsia" w:eastAsiaTheme="minorEastAsia" w:cstheme="minorEastAsia"/>
                <w:b w:val="0"/>
                <w:bCs w:val="0"/>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t>面积727.35公顷。</w:t>
            </w:r>
          </w:p>
          <w:p w14:paraId="414E9D3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pPr>
            <w:r>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t>呼玛县红色边疆历史遗留废弃矿山</w:t>
            </w:r>
            <w:r>
              <w:rPr>
                <w:rFonts w:hint="eastAsia" w:asciiTheme="minorEastAsia" w:hAnsiTheme="minorEastAsia" w:eastAsiaTheme="minorEastAsia" w:cstheme="minorEastAsia"/>
                <w:b w:val="0"/>
                <w:bCs w:val="0"/>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t>呼玛县东大沟金矿历史遗留废弃矿山</w:t>
            </w:r>
            <w:r>
              <w:rPr>
                <w:rFonts w:hint="eastAsia" w:asciiTheme="minorEastAsia" w:hAnsiTheme="minorEastAsia" w:eastAsiaTheme="minorEastAsia" w:cstheme="minorEastAsia"/>
                <w:b w:val="0"/>
                <w:bCs w:val="0"/>
                <w:color w:val="000000" w:themeColor="text1"/>
                <w:sz w:val="28"/>
                <w:szCs w:val="28"/>
                <w:lang w:val="en-US" w:eastAsia="zh-CN"/>
                <w14:textFill>
                  <w14:solidFill>
                    <w14:schemeClr w14:val="tx1"/>
                  </w14:solidFill>
                </w14:textFill>
              </w:rPr>
              <w:t>2</w:t>
            </w:r>
            <w:r>
              <w:rPr>
                <w:rFonts w:hint="eastAsia" w:asciiTheme="minorEastAsia" w:hAnsiTheme="minorEastAsia" w:eastAsiaTheme="minorEastAsia" w:cstheme="minorEastAsia"/>
                <w:b w:val="0"/>
                <w:bCs w:val="0"/>
                <w:color w:val="000000" w:themeColor="text1"/>
                <w:sz w:val="28"/>
                <w:szCs w:val="28"/>
                <w:lang w:eastAsia="zh-Hans"/>
                <w14:textFill>
                  <w14:solidFill>
                    <w14:schemeClr w14:val="tx1"/>
                  </w14:solidFill>
                </w14:textFill>
              </w:rPr>
              <w:t>个图斑总面积969.79公顷。</w:t>
            </w:r>
          </w:p>
          <w:p w14:paraId="5D63077A">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pPr>
            <w:r>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t>2、矿区地质环境概况</w:t>
            </w:r>
          </w:p>
          <w:p w14:paraId="2A13485F">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pPr>
            <w:r>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t>呼玛县红色边疆历史遗留废弃矿山CT2327212016000062001图斑</w:t>
            </w:r>
            <w:r>
              <w:rPr>
                <w:rFonts w:hint="eastAsia" w:asciiTheme="minorEastAsia" w:hAnsiTheme="minorEastAsia" w:eastAsiaTheme="minorEastAsia" w:cstheme="minorEastAsia"/>
                <w:b w:val="0"/>
                <w:bCs w:val="0"/>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t>呼玛县东大沟金矿历史遗留废弃矿山CT2327212016000052001图斑地处河谷平原区，</w:t>
            </w:r>
            <w:r>
              <w:rPr>
                <w:rFonts w:hint="eastAsia" w:asciiTheme="minorEastAsia" w:hAnsiTheme="minorEastAsia" w:eastAsiaTheme="minorEastAsia" w:cstheme="minorEastAsia"/>
                <w:b w:val="0"/>
                <w:bCs w:val="0"/>
                <w:color w:val="000000" w:themeColor="text1"/>
                <w:sz w:val="28"/>
                <w:szCs w:val="28"/>
                <w:lang w:val="en-US" w:eastAsia="zh-CN"/>
                <w14:textFill>
                  <w14:solidFill>
                    <w14:schemeClr w14:val="tx1"/>
                  </w14:solidFill>
                </w14:textFill>
              </w:rPr>
              <w:t>图斑范围内上部地层为第四系全新统、更新统粉土、粉质粘土、砂、砂砾石层；下部为基岩，岩性一般为火山岩、花岗岩等。图斑范围原生生态环境：地势平坦开阔，土壤类型为草甸土、沼泽土，林地、草地植被发育，生态环境良好。</w:t>
            </w:r>
          </w:p>
          <w:p w14:paraId="4102B9E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3、矿山生态环境问题</w:t>
            </w:r>
          </w:p>
          <w:p w14:paraId="20A26FB1">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2004年以前，对砂金矿的大量开采造成大面积的土地资源挖损与占用破坏，矿区破坏主要地类为林地、草地、沼泽草地、森林沼泽、河流水面、道路等。</w:t>
            </w:r>
            <w:r>
              <w:rPr>
                <w:rFonts w:hint="eastAsia" w:asciiTheme="minorEastAsia" w:hAnsiTheme="minorEastAsia" w:eastAsiaTheme="minorEastAsia" w:cstheme="minorEastAsia"/>
                <w:b w:val="0"/>
                <w:bCs w:val="0"/>
                <w:sz w:val="28"/>
                <w:szCs w:val="28"/>
                <w:lang w:val="en-US" w:eastAsia="zh-CN"/>
              </w:rPr>
              <w:t>2个</w:t>
            </w:r>
            <w:r>
              <w:rPr>
                <w:rFonts w:hint="eastAsia" w:asciiTheme="minorEastAsia" w:hAnsiTheme="minorEastAsia" w:eastAsiaTheme="minorEastAsia" w:cstheme="minorEastAsia"/>
                <w:b w:val="0"/>
                <w:bCs w:val="0"/>
                <w:sz w:val="28"/>
                <w:szCs w:val="28"/>
              </w:rPr>
              <w:t>历史遗留废弃矿山图斑</w:t>
            </w:r>
            <w:r>
              <w:rPr>
                <w:rFonts w:hint="eastAsia" w:asciiTheme="minorEastAsia" w:hAnsiTheme="minorEastAsia" w:eastAsiaTheme="minorEastAsia" w:cstheme="minorEastAsia"/>
                <w:b w:val="0"/>
                <w:bCs w:val="0"/>
                <w:sz w:val="28"/>
                <w:szCs w:val="28"/>
                <w:lang w:val="en-US" w:eastAsia="zh-CN"/>
              </w:rPr>
              <w:t>范围内</w:t>
            </w:r>
            <w:r>
              <w:rPr>
                <w:rFonts w:hint="eastAsia" w:asciiTheme="minorEastAsia" w:hAnsiTheme="minorEastAsia" w:eastAsiaTheme="minorEastAsia" w:cstheme="minorEastAsia"/>
                <w:b w:val="0"/>
                <w:bCs w:val="0"/>
                <w:sz w:val="28"/>
                <w:szCs w:val="28"/>
              </w:rPr>
              <w:t>，土地资源挖损与占用破坏总面积为969.79公顷。由于矿山开采，造成地表砂、砂砾石、砾卵石裸露，植被损毁，土地资源与植被损毁及破坏程度均很严重，生态环境质量较差。</w:t>
            </w:r>
          </w:p>
          <w:p w14:paraId="12A3A98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color w:val="C00000"/>
                <w:sz w:val="28"/>
                <w:szCs w:val="28"/>
              </w:rPr>
            </w:pPr>
            <w:r>
              <w:rPr>
                <w:rFonts w:hint="eastAsia" w:asciiTheme="minorEastAsia" w:hAnsiTheme="minorEastAsia" w:eastAsiaTheme="minorEastAsia" w:cstheme="minorEastAsia"/>
                <w:b w:val="0"/>
                <w:bCs w:val="0"/>
                <w:sz w:val="28"/>
                <w:szCs w:val="28"/>
              </w:rPr>
              <w:t>2004年</w:t>
            </w:r>
            <w:r>
              <w:rPr>
                <w:rFonts w:hint="eastAsia" w:asciiTheme="minorEastAsia" w:hAnsiTheme="minorEastAsia" w:eastAsiaTheme="minorEastAsia" w:cstheme="minorEastAsia"/>
                <w:b w:val="0"/>
                <w:bCs w:val="0"/>
                <w:sz w:val="28"/>
                <w:szCs w:val="28"/>
                <w:lang w:val="en-US" w:eastAsia="zh-CN"/>
              </w:rPr>
              <w:t>及</w:t>
            </w:r>
            <w:r>
              <w:rPr>
                <w:rFonts w:hint="eastAsia" w:asciiTheme="minorEastAsia" w:hAnsiTheme="minorEastAsia" w:eastAsiaTheme="minorEastAsia" w:cstheme="minorEastAsia"/>
                <w:b w:val="0"/>
                <w:bCs w:val="0"/>
                <w:sz w:val="28"/>
                <w:szCs w:val="28"/>
              </w:rPr>
              <w:t>以后，砂金矿全面停采，矿山生态环境处于自然修复状态。</w:t>
            </w:r>
          </w:p>
        </w:tc>
      </w:tr>
      <w:tr w14:paraId="09CDC9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15" w:type="dxa"/>
            <w:left w:w="15" w:type="dxa"/>
            <w:bottom w:w="15" w:type="dxa"/>
            <w:right w:w="15" w:type="dxa"/>
          </w:tblCellMar>
        </w:tblPrEx>
        <w:trPr>
          <w:trHeight w:val="1018" w:hRule="atLeast"/>
          <w:jc w:val="center"/>
        </w:trPr>
        <w:tc>
          <w:tcPr>
            <w:tcW w:w="8816" w:type="dxa"/>
            <w:tcBorders>
              <w:tl2br w:val="nil"/>
              <w:tr2bl w:val="nil"/>
            </w:tcBorders>
            <w:shd w:val="clear" w:color="auto" w:fill="FFFFFF"/>
            <w:tcMar>
              <w:top w:w="12" w:type="dxa"/>
              <w:left w:w="12" w:type="dxa"/>
              <w:bottom w:w="0" w:type="dxa"/>
              <w:right w:w="12" w:type="dxa"/>
            </w:tcMar>
            <w:vAlign w:val="center"/>
          </w:tcPr>
          <w:p w14:paraId="0C44D62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三、验收组检查情况</w:t>
            </w:r>
          </w:p>
          <w:p w14:paraId="47D7C159">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验收专家组内业查看了</w:t>
            </w:r>
            <w:r>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t>呼玛县红色边疆历史遗留废弃矿山CT2327212016000062001图斑</w:t>
            </w:r>
            <w:r>
              <w:rPr>
                <w:rFonts w:hint="eastAsia" w:asciiTheme="minorEastAsia" w:hAnsiTheme="minorEastAsia" w:eastAsiaTheme="minorEastAsia" w:cstheme="minorEastAsia"/>
                <w:b w:val="0"/>
                <w:bCs w:val="0"/>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t>呼玛县东大沟金矿历史遗留废弃矿山</w:t>
            </w:r>
            <w:r>
              <w:rPr>
                <w:rFonts w:hint="eastAsia" w:asciiTheme="minorEastAsia" w:hAnsiTheme="minorEastAsia" w:eastAsiaTheme="minorEastAsia" w:cstheme="minorEastAsia"/>
                <w:b w:val="0"/>
                <w:bCs w:val="0"/>
                <w:sz w:val="28"/>
                <w:szCs w:val="28"/>
              </w:rPr>
              <w:t>CT2327212016000052001</w:t>
            </w:r>
            <w:r>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t>图斑</w:t>
            </w:r>
            <w:r>
              <w:rPr>
                <w:rFonts w:hint="eastAsia" w:asciiTheme="minorEastAsia" w:hAnsiTheme="minorEastAsia" w:eastAsiaTheme="minorEastAsia" w:cstheme="minorEastAsia"/>
                <w:b w:val="0"/>
                <w:bCs w:val="0"/>
                <w:sz w:val="28"/>
                <w:szCs w:val="28"/>
              </w:rPr>
              <w:t>现状调查报告，野外现场对图斑申请验收的969.79公顷范围区，采用无人机空中拍摄影像和地面路线穿越查看。主要工作内容：图斑坐标核对、查看场地平整程度、矿山地质环境问题消除、地形地貌景观与土壤植被修复、河道及水流，以及修复后的生态环境与周边自然环境、景观环境协调程度等情况。经检查，现场查看CT2327212016000062001图斑</w:t>
            </w:r>
            <w:r>
              <w:rPr>
                <w:rFonts w:hint="eastAsia" w:asciiTheme="minorEastAsia" w:hAnsiTheme="minorEastAsia" w:eastAsiaTheme="minorEastAsia" w:cstheme="minorEastAsia"/>
                <w:b w:val="0"/>
                <w:bCs w:val="0"/>
                <w:sz w:val="28"/>
                <w:szCs w:val="28"/>
                <w:lang w:val="en-US" w:eastAsia="zh-CN"/>
              </w:rPr>
              <w:t>和</w:t>
            </w:r>
            <w:r>
              <w:rPr>
                <w:rFonts w:hint="eastAsia" w:asciiTheme="minorEastAsia" w:hAnsiTheme="minorEastAsia" w:eastAsiaTheme="minorEastAsia" w:cstheme="minorEastAsia"/>
                <w:b w:val="0"/>
                <w:bCs w:val="0"/>
                <w:sz w:val="28"/>
                <w:szCs w:val="28"/>
              </w:rPr>
              <w:t>CT2327212016000052001图斑验收的969.79公顷范围内，生态环境修复现状及相关信息与现状调查报告中对应描述内容基本吻合，报告内容可信程度高，作为验收依据充分。</w:t>
            </w:r>
          </w:p>
          <w:p w14:paraId="3B215BDC">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color w:val="C00000"/>
                <w:sz w:val="28"/>
                <w:szCs w:val="28"/>
              </w:rPr>
            </w:pPr>
            <w:r>
              <w:rPr>
                <w:rFonts w:hint="eastAsia" w:asciiTheme="minorEastAsia" w:hAnsiTheme="minorEastAsia" w:eastAsiaTheme="minorEastAsia" w:cstheme="minorEastAsia"/>
                <w:b w:val="0"/>
                <w:bCs w:val="0"/>
                <w:sz w:val="28"/>
                <w:szCs w:val="28"/>
              </w:rPr>
              <w:t>呼玛县红色边疆历史遗留废弃矿山CT2327212016000062001图斑</w:t>
            </w:r>
            <w:r>
              <w:rPr>
                <w:rFonts w:hint="eastAsia" w:asciiTheme="minorEastAsia" w:hAnsiTheme="minorEastAsia" w:eastAsiaTheme="minorEastAsia" w:cstheme="minorEastAsia"/>
                <w:b w:val="0"/>
                <w:bCs w:val="0"/>
                <w:sz w:val="28"/>
                <w:szCs w:val="28"/>
                <w:lang w:eastAsia="zh-CN"/>
              </w:rPr>
              <w:t>、</w:t>
            </w:r>
            <w:r>
              <w:rPr>
                <w:rFonts w:hint="eastAsia" w:asciiTheme="minorEastAsia" w:hAnsiTheme="minorEastAsia" w:eastAsiaTheme="minorEastAsia" w:cstheme="minorEastAsia"/>
                <w:b w:val="0"/>
                <w:bCs w:val="0"/>
                <w:sz w:val="28"/>
                <w:szCs w:val="28"/>
              </w:rPr>
              <w:t>呼玛县东大沟金矿历史遗留废弃矿山CT2327212016000052001图斑，</w:t>
            </w:r>
            <w:r>
              <w:rPr>
                <w:rFonts w:hint="eastAsia" w:asciiTheme="minorEastAsia" w:hAnsiTheme="minorEastAsia" w:eastAsiaTheme="minorEastAsia" w:cstheme="minorEastAsia"/>
                <w:b w:val="0"/>
                <w:bCs w:val="0"/>
                <w:sz w:val="28"/>
                <w:szCs w:val="28"/>
                <w:lang w:val="en-US" w:eastAsia="zh-CN"/>
              </w:rPr>
              <w:t>均</w:t>
            </w:r>
            <w:r>
              <w:rPr>
                <w:rFonts w:hint="eastAsia" w:asciiTheme="minorEastAsia" w:hAnsiTheme="minorEastAsia" w:eastAsiaTheme="minorEastAsia" w:cstheme="minorEastAsia"/>
                <w:b w:val="0"/>
                <w:bCs w:val="0"/>
                <w:sz w:val="28"/>
                <w:szCs w:val="28"/>
              </w:rPr>
              <w:t>在历史遗留矿山图斑数据库内；矿山位置偏远、远离城镇，人为扰动少；地质结构稳定、无直接威胁对象，无地质灾害隐患，地貌景观形态较完整，无水土污染问题；第四系松散沉积物丰富，具备植被存活的土壤、水源等基本条件，可自然缓慢生长植被。矿山</w:t>
            </w:r>
            <w:r>
              <w:rPr>
                <w:rFonts w:hint="eastAsia" w:asciiTheme="minorEastAsia" w:hAnsiTheme="minorEastAsia" w:eastAsiaTheme="minorEastAsia" w:cstheme="minorEastAsia"/>
                <w:b w:val="0"/>
                <w:bCs w:val="0"/>
                <w:sz w:val="28"/>
                <w:szCs w:val="28"/>
                <w:lang w:val="en-US" w:eastAsia="zh-CN"/>
              </w:rPr>
              <w:t>图斑范围以</w:t>
            </w:r>
            <w:r>
              <w:rPr>
                <w:rFonts w:hint="eastAsia" w:asciiTheme="minorEastAsia" w:hAnsiTheme="minorEastAsia" w:eastAsiaTheme="minorEastAsia" w:cstheme="minorEastAsia"/>
                <w:b w:val="0"/>
                <w:bCs w:val="0"/>
                <w:sz w:val="28"/>
                <w:szCs w:val="28"/>
              </w:rPr>
              <w:t>自然恢复方式</w:t>
            </w:r>
            <w:r>
              <w:rPr>
                <w:rFonts w:hint="eastAsia" w:asciiTheme="minorEastAsia" w:hAnsiTheme="minorEastAsia" w:eastAsiaTheme="minorEastAsia" w:cstheme="minorEastAsia"/>
                <w:b w:val="0"/>
                <w:bCs w:val="0"/>
                <w:sz w:val="28"/>
                <w:szCs w:val="28"/>
                <w:lang w:val="en-US" w:eastAsia="zh-CN"/>
              </w:rPr>
              <w:t>为主，转型利用修复方式为辅</w:t>
            </w:r>
            <w:r>
              <w:rPr>
                <w:rFonts w:hint="eastAsia" w:asciiTheme="minorEastAsia" w:hAnsiTheme="minorEastAsia" w:eastAsiaTheme="minorEastAsia" w:cstheme="minorEastAsia"/>
                <w:b w:val="0"/>
                <w:bCs w:val="0"/>
                <w:sz w:val="28"/>
                <w:szCs w:val="28"/>
              </w:rPr>
              <w:t>，</w:t>
            </w:r>
            <w:r>
              <w:rPr>
                <w:rFonts w:hint="eastAsia" w:asciiTheme="minorEastAsia" w:hAnsiTheme="minorEastAsia" w:eastAsiaTheme="minorEastAsia" w:cstheme="minorEastAsia"/>
                <w:b w:val="0"/>
                <w:bCs w:val="0"/>
                <w:sz w:val="28"/>
                <w:szCs w:val="28"/>
                <w:lang w:val="en-US" w:eastAsia="zh-CN"/>
              </w:rPr>
              <w:t>生态修复效果较好</w:t>
            </w:r>
            <w:r>
              <w:rPr>
                <w:rFonts w:hint="eastAsia" w:asciiTheme="minorEastAsia" w:hAnsiTheme="minorEastAsia" w:eastAsiaTheme="minorEastAsia" w:cstheme="minorEastAsia"/>
                <w:b w:val="0"/>
                <w:bCs w:val="0"/>
                <w:sz w:val="28"/>
                <w:szCs w:val="28"/>
              </w:rPr>
              <w:t>。</w:t>
            </w:r>
          </w:p>
        </w:tc>
      </w:tr>
      <w:tr w14:paraId="64866F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15" w:type="dxa"/>
            <w:left w:w="15" w:type="dxa"/>
            <w:bottom w:w="15" w:type="dxa"/>
            <w:right w:w="15" w:type="dxa"/>
          </w:tblCellMar>
        </w:tblPrEx>
        <w:trPr>
          <w:trHeight w:val="598" w:hRule="atLeast"/>
          <w:jc w:val="center"/>
        </w:trPr>
        <w:tc>
          <w:tcPr>
            <w:tcW w:w="8816" w:type="dxa"/>
            <w:tcBorders>
              <w:tl2br w:val="nil"/>
              <w:tr2bl w:val="nil"/>
            </w:tcBorders>
            <w:shd w:val="clear" w:color="auto" w:fill="FFFFFF"/>
            <w:tcMar>
              <w:top w:w="12" w:type="dxa"/>
              <w:left w:w="12" w:type="dxa"/>
              <w:bottom w:w="0" w:type="dxa"/>
              <w:right w:w="12" w:type="dxa"/>
            </w:tcMar>
          </w:tcPr>
          <w:p w14:paraId="36B0B2FE">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四、矿山生态自然恢复成果</w:t>
            </w:r>
          </w:p>
          <w:p w14:paraId="7A59AC1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通过查看内业资料和外业实地</w:t>
            </w:r>
            <w:r>
              <w:rPr>
                <w:rFonts w:hint="eastAsia" w:asciiTheme="minorEastAsia" w:hAnsiTheme="minorEastAsia" w:eastAsiaTheme="minorEastAsia" w:cstheme="minorEastAsia"/>
                <w:b w:val="0"/>
                <w:bCs w:val="0"/>
                <w:sz w:val="28"/>
                <w:szCs w:val="28"/>
                <w:lang w:val="en-US" w:eastAsia="zh-CN"/>
              </w:rPr>
              <w:t>查看</w:t>
            </w:r>
            <w:r>
              <w:rPr>
                <w:rFonts w:hint="eastAsia" w:asciiTheme="minorEastAsia" w:hAnsiTheme="minorEastAsia" w:eastAsiaTheme="minorEastAsia" w:cstheme="minorEastAsia"/>
                <w:b w:val="0"/>
                <w:bCs w:val="0"/>
                <w:sz w:val="28"/>
                <w:szCs w:val="28"/>
              </w:rPr>
              <w:t>：呼玛县红色边疆CT2327212016000062001图斑范围</w:t>
            </w:r>
            <w:r>
              <w:rPr>
                <w:rFonts w:hint="eastAsia" w:asciiTheme="minorEastAsia" w:hAnsiTheme="minorEastAsia" w:eastAsiaTheme="minorEastAsia" w:cstheme="minorEastAsia"/>
                <w:b w:val="0"/>
                <w:bCs w:val="0"/>
                <w:sz w:val="28"/>
                <w:szCs w:val="28"/>
                <w:lang w:eastAsia="zh-CN"/>
              </w:rPr>
              <w:t>，</w:t>
            </w:r>
            <w:r>
              <w:rPr>
                <w:rFonts w:hint="eastAsia" w:asciiTheme="minorEastAsia" w:hAnsiTheme="minorEastAsia" w:eastAsiaTheme="minorEastAsia" w:cstheme="minorEastAsia"/>
                <w:b w:val="0"/>
                <w:bCs w:val="0"/>
                <w:sz w:val="28"/>
                <w:szCs w:val="28"/>
              </w:rPr>
              <w:t>经过近20年时间的自然修复，生态自然修复程度较高，效果较好。</w:t>
            </w:r>
            <w:r>
              <w:rPr>
                <w:rFonts w:hint="eastAsia" w:asciiTheme="minorEastAsia" w:hAnsiTheme="minorEastAsia" w:eastAsiaTheme="minorEastAsia" w:cstheme="minorEastAsia"/>
                <w:b w:val="0"/>
                <w:bCs w:val="0"/>
                <w:sz w:val="28"/>
                <w:szCs w:val="28"/>
                <w:lang w:val="en-US" w:eastAsia="zh-CN"/>
              </w:rPr>
              <w:t>修复为乔木林地5.66公顷，森林沼泽17.55公顷，灌丛沼泽65.27公顷， 沼泽草地69.50公顷，河流水面18.34公顷，坑塘水面5.47公顷， 裸土地50.12公顷，农村道路2.77公顷，沟渠0.61公顷，城镇住宅用地0.48公顷，公路用地0.80公顷；转型利用修复，公用设施用地0.23公顷，养殖坑塘1.23公顷，旱地4.42。详见下表：</w:t>
            </w:r>
          </w:p>
          <w:p w14:paraId="75361F6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heme="minorEastAsia" w:hAnsiTheme="minorEastAsia" w:eastAsiaTheme="minorEastAsia" w:cstheme="minorEastAsia"/>
                <w:b w:val="0"/>
                <w:bCs w:val="0"/>
                <w:sz w:val="28"/>
                <w:szCs w:val="28"/>
              </w:rPr>
            </w:pPr>
            <w:r>
              <w:rPr>
                <w:rFonts w:hint="eastAsia"/>
                <w:b w:val="0"/>
                <w:bCs w:val="0"/>
                <w:color w:val="000000" w:themeColor="text1"/>
                <w:kern w:val="0"/>
                <w:sz w:val="28"/>
                <w:szCs w:val="28"/>
                <w:lang w:val="en-US" w:eastAsia="zh-CN"/>
                <w14:textFill>
                  <w14:solidFill>
                    <w14:schemeClr w14:val="tx1"/>
                  </w14:solidFill>
                </w14:textFill>
              </w:rPr>
              <w:t>CT2327212016000062001</w:t>
            </w:r>
            <w:r>
              <w:rPr>
                <w:rFonts w:hint="eastAsia"/>
                <w:b w:val="0"/>
                <w:bCs w:val="0"/>
                <w:color w:val="000000" w:themeColor="text1"/>
                <w:kern w:val="0"/>
                <w:sz w:val="28"/>
                <w:szCs w:val="28"/>
                <w:lang w:eastAsia="zh-CN"/>
                <w14:textFill>
                  <w14:solidFill>
                    <w14:schemeClr w14:val="tx1"/>
                  </w14:solidFill>
                </w14:textFill>
              </w:rPr>
              <w:t>图斑</w:t>
            </w:r>
            <w:r>
              <w:rPr>
                <w:b w:val="0"/>
                <w:bCs w:val="0"/>
                <w:color w:val="000000" w:themeColor="text1"/>
                <w:kern w:val="0"/>
                <w:sz w:val="28"/>
                <w:szCs w:val="28"/>
                <w14:textFill>
                  <w14:solidFill>
                    <w14:schemeClr w14:val="tx1"/>
                  </w14:solidFill>
                </w14:textFill>
              </w:rPr>
              <w:t>土地利用现状统计表</w:t>
            </w:r>
          </w:p>
          <w:tbl>
            <w:tblPr>
              <w:tblStyle w:val="8"/>
              <w:tblW w:w="7721" w:type="dxa"/>
              <w:jc w:val="center"/>
              <w:tblLayout w:type="fixed"/>
              <w:tblCellMar>
                <w:top w:w="0" w:type="dxa"/>
                <w:left w:w="108" w:type="dxa"/>
                <w:bottom w:w="0" w:type="dxa"/>
                <w:right w:w="108" w:type="dxa"/>
              </w:tblCellMar>
            </w:tblPr>
            <w:tblGrid>
              <w:gridCol w:w="802"/>
              <w:gridCol w:w="1215"/>
              <w:gridCol w:w="1725"/>
              <w:gridCol w:w="2100"/>
              <w:gridCol w:w="1879"/>
            </w:tblGrid>
            <w:tr w14:paraId="5B3BF406">
              <w:tblPrEx>
                <w:tblCellMar>
                  <w:top w:w="0" w:type="dxa"/>
                  <w:left w:w="108" w:type="dxa"/>
                  <w:bottom w:w="0" w:type="dxa"/>
                  <w:right w:w="108" w:type="dxa"/>
                </w:tblCellMar>
              </w:tblPrEx>
              <w:trPr>
                <w:trHeight w:val="272" w:hRule="atLeast"/>
                <w:jc w:val="center"/>
              </w:trPr>
              <w:tc>
                <w:tcPr>
                  <w:tcW w:w="802" w:type="dxa"/>
                  <w:tcBorders>
                    <w:top w:val="single" w:color="auto" w:sz="12" w:space="0"/>
                    <w:left w:val="single" w:color="auto" w:sz="12" w:space="0"/>
                    <w:bottom w:val="single" w:color="000000" w:sz="4" w:space="0"/>
                    <w:right w:val="single" w:color="000000" w:sz="4" w:space="0"/>
                  </w:tcBorders>
                  <w:shd w:val="clear" w:color="auto" w:fill="auto"/>
                  <w:noWrap/>
                  <w:vAlign w:val="center"/>
                </w:tcPr>
                <w:p w14:paraId="6C18E705">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序号</w:t>
                  </w:r>
                </w:p>
              </w:tc>
              <w:tc>
                <w:tcPr>
                  <w:tcW w:w="1215" w:type="dxa"/>
                  <w:tcBorders>
                    <w:top w:val="single" w:color="auto" w:sz="12" w:space="0"/>
                    <w:left w:val="single" w:color="000000" w:sz="4" w:space="0"/>
                    <w:bottom w:val="single" w:color="000000" w:sz="4" w:space="0"/>
                    <w:right w:val="single" w:color="000000" w:sz="4" w:space="0"/>
                  </w:tcBorders>
                  <w:shd w:val="clear" w:color="auto" w:fill="auto"/>
                  <w:noWrap/>
                  <w:vAlign w:val="center"/>
                </w:tcPr>
                <w:p w14:paraId="4545FA56">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地类编码</w:t>
                  </w:r>
                </w:p>
              </w:tc>
              <w:tc>
                <w:tcPr>
                  <w:tcW w:w="1725" w:type="dxa"/>
                  <w:tcBorders>
                    <w:top w:val="single" w:color="auto" w:sz="12" w:space="0"/>
                    <w:left w:val="single" w:color="000000" w:sz="4" w:space="0"/>
                    <w:bottom w:val="single" w:color="000000" w:sz="4" w:space="0"/>
                    <w:right w:val="single" w:color="000000" w:sz="4" w:space="0"/>
                  </w:tcBorders>
                  <w:shd w:val="clear" w:color="auto" w:fill="auto"/>
                  <w:noWrap/>
                  <w:vAlign w:val="center"/>
                </w:tcPr>
                <w:p w14:paraId="13676563">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地类名称</w:t>
                  </w:r>
                </w:p>
              </w:tc>
              <w:tc>
                <w:tcPr>
                  <w:tcW w:w="2100" w:type="dxa"/>
                  <w:tcBorders>
                    <w:top w:val="single" w:color="auto" w:sz="12" w:space="0"/>
                    <w:left w:val="single" w:color="000000" w:sz="4" w:space="0"/>
                    <w:bottom w:val="single" w:color="000000" w:sz="4" w:space="0"/>
                    <w:right w:val="single" w:color="000000" w:sz="4" w:space="0"/>
                  </w:tcBorders>
                  <w:shd w:val="clear" w:color="auto" w:fill="auto"/>
                  <w:noWrap/>
                  <w:vAlign w:val="center"/>
                </w:tcPr>
                <w:p w14:paraId="68C87C9D">
                  <w:pPr>
                    <w:widowControl/>
                    <w:jc w:val="center"/>
                    <w:textAlignment w:val="center"/>
                    <w:rPr>
                      <w:rFonts w:hint="default"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面积（公顷）</w:t>
                  </w:r>
                </w:p>
              </w:tc>
              <w:tc>
                <w:tcPr>
                  <w:tcW w:w="1879" w:type="dxa"/>
                  <w:tcBorders>
                    <w:top w:val="single" w:color="auto" w:sz="12" w:space="0"/>
                    <w:left w:val="single" w:color="000000" w:sz="4" w:space="0"/>
                    <w:bottom w:val="single" w:color="000000" w:sz="4" w:space="0"/>
                    <w:right w:val="single" w:color="auto" w:sz="12" w:space="0"/>
                  </w:tcBorders>
                  <w:shd w:val="clear" w:color="auto" w:fill="auto"/>
                  <w:noWrap/>
                  <w:vAlign w:val="center"/>
                </w:tcPr>
                <w:p w14:paraId="407ED92C">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占比</w:t>
                  </w:r>
                </w:p>
              </w:tc>
            </w:tr>
            <w:tr w14:paraId="4962C28E">
              <w:tblPrEx>
                <w:tblCellMar>
                  <w:top w:w="0" w:type="dxa"/>
                  <w:left w:w="108" w:type="dxa"/>
                  <w:bottom w:w="0" w:type="dxa"/>
                  <w:right w:w="108" w:type="dxa"/>
                </w:tblCellMar>
              </w:tblPrEx>
              <w:trPr>
                <w:trHeight w:val="272" w:hRule="atLeast"/>
                <w:jc w:val="center"/>
              </w:trPr>
              <w:tc>
                <w:tcPr>
                  <w:tcW w:w="802" w:type="dxa"/>
                  <w:tcBorders>
                    <w:top w:val="single" w:color="000000" w:sz="4" w:space="0"/>
                    <w:left w:val="single" w:color="auto" w:sz="12" w:space="0"/>
                    <w:bottom w:val="single" w:color="000000" w:sz="4" w:space="0"/>
                    <w:right w:val="single" w:color="000000" w:sz="4" w:space="0"/>
                  </w:tcBorders>
                  <w:shd w:val="clear" w:color="auto" w:fill="auto"/>
                  <w:noWrap/>
                  <w:vAlign w:val="center"/>
                </w:tcPr>
                <w:p w14:paraId="28978A20">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DB30C">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0103</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6C57A">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旱地</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18CA5">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 xml:space="preserve">4.42 </w:t>
                  </w:r>
                </w:p>
              </w:tc>
              <w:tc>
                <w:tcPr>
                  <w:tcW w:w="1879" w:type="dxa"/>
                  <w:tcBorders>
                    <w:top w:val="single" w:color="000000" w:sz="4" w:space="0"/>
                    <w:left w:val="single" w:color="000000" w:sz="4" w:space="0"/>
                    <w:bottom w:val="single" w:color="000000" w:sz="4" w:space="0"/>
                    <w:right w:val="single" w:color="auto" w:sz="12" w:space="0"/>
                  </w:tcBorders>
                  <w:shd w:val="clear" w:color="auto" w:fill="auto"/>
                  <w:noWrap/>
                  <w:vAlign w:val="center"/>
                </w:tcPr>
                <w:p w14:paraId="4AAB15FF">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1.82%</w:t>
                  </w:r>
                </w:p>
              </w:tc>
            </w:tr>
            <w:tr w14:paraId="7B3DEB4C">
              <w:tblPrEx>
                <w:tblCellMar>
                  <w:top w:w="0" w:type="dxa"/>
                  <w:left w:w="108" w:type="dxa"/>
                  <w:bottom w:w="0" w:type="dxa"/>
                  <w:right w:w="108" w:type="dxa"/>
                </w:tblCellMar>
              </w:tblPrEx>
              <w:trPr>
                <w:trHeight w:val="272" w:hRule="atLeast"/>
                <w:jc w:val="center"/>
              </w:trPr>
              <w:tc>
                <w:tcPr>
                  <w:tcW w:w="802" w:type="dxa"/>
                  <w:tcBorders>
                    <w:top w:val="single" w:color="000000" w:sz="4" w:space="0"/>
                    <w:left w:val="single" w:color="auto" w:sz="12" w:space="0"/>
                    <w:bottom w:val="single" w:color="000000" w:sz="4" w:space="0"/>
                    <w:right w:val="single" w:color="000000" w:sz="4" w:space="0"/>
                  </w:tcBorders>
                  <w:shd w:val="clear" w:color="auto" w:fill="auto"/>
                  <w:noWrap/>
                  <w:vAlign w:val="center"/>
                </w:tcPr>
                <w:p w14:paraId="370BBECC">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2</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96771">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0301</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B7C5F">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乔木林地</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ADCD3">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 xml:space="preserve">5.66 </w:t>
                  </w:r>
                </w:p>
              </w:tc>
              <w:tc>
                <w:tcPr>
                  <w:tcW w:w="1879" w:type="dxa"/>
                  <w:tcBorders>
                    <w:top w:val="single" w:color="000000" w:sz="4" w:space="0"/>
                    <w:left w:val="single" w:color="000000" w:sz="4" w:space="0"/>
                    <w:bottom w:val="single" w:color="000000" w:sz="4" w:space="0"/>
                    <w:right w:val="single" w:color="auto" w:sz="12" w:space="0"/>
                  </w:tcBorders>
                  <w:shd w:val="clear" w:color="auto" w:fill="auto"/>
                  <w:noWrap/>
                  <w:vAlign w:val="center"/>
                </w:tcPr>
                <w:p w14:paraId="2C52D85F">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2.33%</w:t>
                  </w:r>
                </w:p>
              </w:tc>
            </w:tr>
            <w:tr w14:paraId="3528F068">
              <w:tblPrEx>
                <w:tblCellMar>
                  <w:top w:w="0" w:type="dxa"/>
                  <w:left w:w="108" w:type="dxa"/>
                  <w:bottom w:w="0" w:type="dxa"/>
                  <w:right w:w="108" w:type="dxa"/>
                </w:tblCellMar>
              </w:tblPrEx>
              <w:trPr>
                <w:trHeight w:val="272" w:hRule="atLeast"/>
                <w:jc w:val="center"/>
              </w:trPr>
              <w:tc>
                <w:tcPr>
                  <w:tcW w:w="802" w:type="dxa"/>
                  <w:tcBorders>
                    <w:top w:val="single" w:color="000000" w:sz="4" w:space="0"/>
                    <w:left w:val="single" w:color="auto" w:sz="12" w:space="0"/>
                    <w:bottom w:val="single" w:color="000000" w:sz="4" w:space="0"/>
                    <w:right w:val="single" w:color="000000" w:sz="4" w:space="0"/>
                  </w:tcBorders>
                  <w:shd w:val="clear" w:color="auto" w:fill="auto"/>
                  <w:noWrap/>
                  <w:vAlign w:val="center"/>
                </w:tcPr>
                <w:p w14:paraId="0543CD63">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3</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E2F7C">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0304</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6E62D">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森林沼泽</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85D03">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 xml:space="preserve">17.55 </w:t>
                  </w:r>
                </w:p>
              </w:tc>
              <w:tc>
                <w:tcPr>
                  <w:tcW w:w="1879" w:type="dxa"/>
                  <w:tcBorders>
                    <w:top w:val="single" w:color="000000" w:sz="4" w:space="0"/>
                    <w:left w:val="single" w:color="000000" w:sz="4" w:space="0"/>
                    <w:bottom w:val="single" w:color="000000" w:sz="4" w:space="0"/>
                    <w:right w:val="single" w:color="auto" w:sz="12" w:space="0"/>
                  </w:tcBorders>
                  <w:shd w:val="clear" w:color="auto" w:fill="auto"/>
                  <w:noWrap/>
                  <w:vAlign w:val="center"/>
                </w:tcPr>
                <w:p w14:paraId="28197C41">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7.24%</w:t>
                  </w:r>
                </w:p>
              </w:tc>
            </w:tr>
            <w:tr w14:paraId="1C5742FB">
              <w:tblPrEx>
                <w:tblCellMar>
                  <w:top w:w="0" w:type="dxa"/>
                  <w:left w:w="108" w:type="dxa"/>
                  <w:bottom w:w="0" w:type="dxa"/>
                  <w:right w:w="108" w:type="dxa"/>
                </w:tblCellMar>
              </w:tblPrEx>
              <w:trPr>
                <w:trHeight w:val="272" w:hRule="atLeast"/>
                <w:jc w:val="center"/>
              </w:trPr>
              <w:tc>
                <w:tcPr>
                  <w:tcW w:w="802" w:type="dxa"/>
                  <w:tcBorders>
                    <w:top w:val="single" w:color="000000" w:sz="4" w:space="0"/>
                    <w:left w:val="single" w:color="auto" w:sz="12" w:space="0"/>
                    <w:bottom w:val="single" w:color="000000" w:sz="4" w:space="0"/>
                    <w:right w:val="single" w:color="000000" w:sz="4" w:space="0"/>
                  </w:tcBorders>
                  <w:shd w:val="clear" w:color="auto" w:fill="auto"/>
                  <w:noWrap/>
                  <w:vAlign w:val="center"/>
                </w:tcPr>
                <w:p w14:paraId="29C5049F">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4</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DCE35">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0306</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81680">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灌丛沼泽</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0E092">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 xml:space="preserve">65.27 </w:t>
                  </w:r>
                </w:p>
              </w:tc>
              <w:tc>
                <w:tcPr>
                  <w:tcW w:w="1879" w:type="dxa"/>
                  <w:tcBorders>
                    <w:top w:val="single" w:color="000000" w:sz="4" w:space="0"/>
                    <w:left w:val="single" w:color="000000" w:sz="4" w:space="0"/>
                    <w:bottom w:val="single" w:color="000000" w:sz="4" w:space="0"/>
                    <w:right w:val="single" w:color="auto" w:sz="12" w:space="0"/>
                  </w:tcBorders>
                  <w:shd w:val="clear" w:color="auto" w:fill="auto"/>
                  <w:noWrap/>
                  <w:vAlign w:val="center"/>
                </w:tcPr>
                <w:p w14:paraId="691CFBBA">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26.92%</w:t>
                  </w:r>
                </w:p>
              </w:tc>
            </w:tr>
            <w:tr w14:paraId="3F9E7A10">
              <w:tblPrEx>
                <w:tblCellMar>
                  <w:top w:w="0" w:type="dxa"/>
                  <w:left w:w="108" w:type="dxa"/>
                  <w:bottom w:w="0" w:type="dxa"/>
                  <w:right w:w="108" w:type="dxa"/>
                </w:tblCellMar>
              </w:tblPrEx>
              <w:trPr>
                <w:trHeight w:val="272" w:hRule="atLeast"/>
                <w:jc w:val="center"/>
              </w:trPr>
              <w:tc>
                <w:tcPr>
                  <w:tcW w:w="802" w:type="dxa"/>
                  <w:tcBorders>
                    <w:top w:val="single" w:color="000000" w:sz="4" w:space="0"/>
                    <w:left w:val="single" w:color="auto" w:sz="12" w:space="0"/>
                    <w:bottom w:val="single" w:color="000000" w:sz="4" w:space="0"/>
                    <w:right w:val="single" w:color="000000" w:sz="4" w:space="0"/>
                  </w:tcBorders>
                  <w:shd w:val="clear" w:color="auto" w:fill="auto"/>
                  <w:noWrap/>
                  <w:vAlign w:val="center"/>
                </w:tcPr>
                <w:p w14:paraId="60FEA834">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5</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B8B23">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0402</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4DCD9">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沼泽草地</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39BF4">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 xml:space="preserve">69.50 </w:t>
                  </w:r>
                </w:p>
              </w:tc>
              <w:tc>
                <w:tcPr>
                  <w:tcW w:w="1879" w:type="dxa"/>
                  <w:tcBorders>
                    <w:top w:val="single" w:color="000000" w:sz="4" w:space="0"/>
                    <w:left w:val="single" w:color="000000" w:sz="4" w:space="0"/>
                    <w:bottom w:val="single" w:color="000000" w:sz="4" w:space="0"/>
                    <w:right w:val="single" w:color="auto" w:sz="12" w:space="0"/>
                  </w:tcBorders>
                  <w:shd w:val="clear" w:color="auto" w:fill="auto"/>
                  <w:noWrap/>
                  <w:vAlign w:val="center"/>
                </w:tcPr>
                <w:p w14:paraId="3E019FD6">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28.67%</w:t>
                  </w:r>
                </w:p>
              </w:tc>
            </w:tr>
            <w:tr w14:paraId="7AD23FEC">
              <w:tblPrEx>
                <w:tblCellMar>
                  <w:top w:w="0" w:type="dxa"/>
                  <w:left w:w="108" w:type="dxa"/>
                  <w:bottom w:w="0" w:type="dxa"/>
                  <w:right w:w="108" w:type="dxa"/>
                </w:tblCellMar>
              </w:tblPrEx>
              <w:trPr>
                <w:trHeight w:val="272" w:hRule="atLeast"/>
                <w:jc w:val="center"/>
              </w:trPr>
              <w:tc>
                <w:tcPr>
                  <w:tcW w:w="802" w:type="dxa"/>
                  <w:tcBorders>
                    <w:top w:val="single" w:color="000000" w:sz="4" w:space="0"/>
                    <w:left w:val="single" w:color="auto" w:sz="12" w:space="0"/>
                    <w:bottom w:val="single" w:color="000000" w:sz="4" w:space="0"/>
                    <w:right w:val="single" w:color="000000" w:sz="4" w:space="0"/>
                  </w:tcBorders>
                  <w:shd w:val="clear" w:color="auto" w:fill="auto"/>
                  <w:noWrap/>
                  <w:vAlign w:val="center"/>
                </w:tcPr>
                <w:p w14:paraId="31BAC6C8">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6</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01B21">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0701</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8E7DD">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城镇住宅用地</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78E62">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 xml:space="preserve">0.48 </w:t>
                  </w:r>
                </w:p>
              </w:tc>
              <w:tc>
                <w:tcPr>
                  <w:tcW w:w="1879" w:type="dxa"/>
                  <w:tcBorders>
                    <w:top w:val="single" w:color="000000" w:sz="4" w:space="0"/>
                    <w:left w:val="single" w:color="000000" w:sz="4" w:space="0"/>
                    <w:bottom w:val="single" w:color="000000" w:sz="4" w:space="0"/>
                    <w:right w:val="single" w:color="auto" w:sz="12" w:space="0"/>
                  </w:tcBorders>
                  <w:shd w:val="clear" w:color="auto" w:fill="auto"/>
                  <w:noWrap/>
                  <w:vAlign w:val="center"/>
                </w:tcPr>
                <w:p w14:paraId="6A66F5F6">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0.20%</w:t>
                  </w:r>
                </w:p>
              </w:tc>
            </w:tr>
            <w:tr w14:paraId="54BC9617">
              <w:tblPrEx>
                <w:tblCellMar>
                  <w:top w:w="0" w:type="dxa"/>
                  <w:left w:w="108" w:type="dxa"/>
                  <w:bottom w:w="0" w:type="dxa"/>
                  <w:right w:w="108" w:type="dxa"/>
                </w:tblCellMar>
              </w:tblPrEx>
              <w:trPr>
                <w:trHeight w:val="272" w:hRule="atLeast"/>
                <w:jc w:val="center"/>
              </w:trPr>
              <w:tc>
                <w:tcPr>
                  <w:tcW w:w="802" w:type="dxa"/>
                  <w:tcBorders>
                    <w:top w:val="single" w:color="000000" w:sz="4" w:space="0"/>
                    <w:left w:val="single" w:color="auto" w:sz="12" w:space="0"/>
                    <w:bottom w:val="single" w:color="000000" w:sz="4" w:space="0"/>
                    <w:right w:val="single" w:color="000000" w:sz="4" w:space="0"/>
                  </w:tcBorders>
                  <w:shd w:val="clear" w:color="auto" w:fill="auto"/>
                  <w:noWrap/>
                  <w:vAlign w:val="center"/>
                </w:tcPr>
                <w:p w14:paraId="742DE154">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7</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D1030">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0809</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3D039">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公用设施用地</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18AB8">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 xml:space="preserve">0.23 </w:t>
                  </w:r>
                </w:p>
              </w:tc>
              <w:tc>
                <w:tcPr>
                  <w:tcW w:w="1879" w:type="dxa"/>
                  <w:tcBorders>
                    <w:top w:val="single" w:color="000000" w:sz="4" w:space="0"/>
                    <w:left w:val="single" w:color="000000" w:sz="4" w:space="0"/>
                    <w:bottom w:val="single" w:color="000000" w:sz="4" w:space="0"/>
                    <w:right w:val="single" w:color="auto" w:sz="12" w:space="0"/>
                  </w:tcBorders>
                  <w:shd w:val="clear" w:color="auto" w:fill="auto"/>
                  <w:noWrap/>
                  <w:vAlign w:val="center"/>
                </w:tcPr>
                <w:p w14:paraId="1FF5BE6B">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0.10%</w:t>
                  </w:r>
                </w:p>
              </w:tc>
            </w:tr>
            <w:tr w14:paraId="0C9F2221">
              <w:tblPrEx>
                <w:tblCellMar>
                  <w:top w:w="0" w:type="dxa"/>
                  <w:left w:w="108" w:type="dxa"/>
                  <w:bottom w:w="0" w:type="dxa"/>
                  <w:right w:w="108" w:type="dxa"/>
                </w:tblCellMar>
              </w:tblPrEx>
              <w:trPr>
                <w:trHeight w:val="272" w:hRule="atLeast"/>
                <w:jc w:val="center"/>
              </w:trPr>
              <w:tc>
                <w:tcPr>
                  <w:tcW w:w="802" w:type="dxa"/>
                  <w:tcBorders>
                    <w:top w:val="single" w:color="000000" w:sz="4" w:space="0"/>
                    <w:left w:val="single" w:color="auto" w:sz="12" w:space="0"/>
                    <w:bottom w:val="single" w:color="000000" w:sz="4" w:space="0"/>
                    <w:right w:val="single" w:color="000000" w:sz="4" w:space="0"/>
                  </w:tcBorders>
                  <w:shd w:val="clear" w:color="auto" w:fill="auto"/>
                  <w:noWrap/>
                  <w:vAlign w:val="center"/>
                </w:tcPr>
                <w:p w14:paraId="51305AB6">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8</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23D32">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1003</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64837">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公路用地</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3D3DD">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 xml:space="preserve">0.80 </w:t>
                  </w:r>
                </w:p>
              </w:tc>
              <w:tc>
                <w:tcPr>
                  <w:tcW w:w="1879" w:type="dxa"/>
                  <w:tcBorders>
                    <w:top w:val="single" w:color="000000" w:sz="4" w:space="0"/>
                    <w:left w:val="single" w:color="000000" w:sz="4" w:space="0"/>
                    <w:bottom w:val="single" w:color="000000" w:sz="4" w:space="0"/>
                    <w:right w:val="single" w:color="auto" w:sz="12" w:space="0"/>
                  </w:tcBorders>
                  <w:shd w:val="clear" w:color="auto" w:fill="auto"/>
                  <w:noWrap/>
                  <w:vAlign w:val="center"/>
                </w:tcPr>
                <w:p w14:paraId="482175CF">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0.33%</w:t>
                  </w:r>
                </w:p>
              </w:tc>
            </w:tr>
            <w:tr w14:paraId="3E285B17">
              <w:tblPrEx>
                <w:tblCellMar>
                  <w:top w:w="0" w:type="dxa"/>
                  <w:left w:w="108" w:type="dxa"/>
                  <w:bottom w:w="0" w:type="dxa"/>
                  <w:right w:w="108" w:type="dxa"/>
                </w:tblCellMar>
              </w:tblPrEx>
              <w:trPr>
                <w:trHeight w:val="272" w:hRule="atLeast"/>
                <w:jc w:val="center"/>
              </w:trPr>
              <w:tc>
                <w:tcPr>
                  <w:tcW w:w="802" w:type="dxa"/>
                  <w:tcBorders>
                    <w:top w:val="single" w:color="000000" w:sz="4" w:space="0"/>
                    <w:left w:val="single" w:color="auto" w:sz="12" w:space="0"/>
                    <w:bottom w:val="single" w:color="000000" w:sz="4" w:space="0"/>
                    <w:right w:val="single" w:color="000000" w:sz="4" w:space="0"/>
                  </w:tcBorders>
                  <w:shd w:val="clear" w:color="auto" w:fill="auto"/>
                  <w:noWrap/>
                  <w:vAlign w:val="center"/>
                </w:tcPr>
                <w:p w14:paraId="606A8E4B">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9</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80456">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1006</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BAE80">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农村道路</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12D9E">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 xml:space="preserve">2.77 </w:t>
                  </w:r>
                </w:p>
              </w:tc>
              <w:tc>
                <w:tcPr>
                  <w:tcW w:w="1879" w:type="dxa"/>
                  <w:tcBorders>
                    <w:top w:val="single" w:color="000000" w:sz="4" w:space="0"/>
                    <w:left w:val="single" w:color="000000" w:sz="4" w:space="0"/>
                    <w:bottom w:val="single" w:color="000000" w:sz="4" w:space="0"/>
                    <w:right w:val="single" w:color="auto" w:sz="12" w:space="0"/>
                  </w:tcBorders>
                  <w:shd w:val="clear" w:color="auto" w:fill="auto"/>
                  <w:noWrap/>
                  <w:vAlign w:val="center"/>
                </w:tcPr>
                <w:p w14:paraId="0061E69D">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1.14%</w:t>
                  </w:r>
                </w:p>
              </w:tc>
            </w:tr>
            <w:tr w14:paraId="7B5A9E4C">
              <w:tblPrEx>
                <w:tblCellMar>
                  <w:top w:w="0" w:type="dxa"/>
                  <w:left w:w="108" w:type="dxa"/>
                  <w:bottom w:w="0" w:type="dxa"/>
                  <w:right w:w="108" w:type="dxa"/>
                </w:tblCellMar>
              </w:tblPrEx>
              <w:trPr>
                <w:trHeight w:val="272" w:hRule="atLeast"/>
                <w:jc w:val="center"/>
              </w:trPr>
              <w:tc>
                <w:tcPr>
                  <w:tcW w:w="802" w:type="dxa"/>
                  <w:tcBorders>
                    <w:top w:val="single" w:color="000000" w:sz="4" w:space="0"/>
                    <w:left w:val="single" w:color="auto" w:sz="12" w:space="0"/>
                    <w:bottom w:val="single" w:color="000000" w:sz="4" w:space="0"/>
                    <w:right w:val="single" w:color="000000" w:sz="4" w:space="0"/>
                  </w:tcBorders>
                  <w:shd w:val="clear" w:color="auto" w:fill="auto"/>
                  <w:noWrap/>
                  <w:vAlign w:val="center"/>
                </w:tcPr>
                <w:p w14:paraId="77FC0212">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10</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8D300">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1101</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5D9B7">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河流水面</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496EA">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 xml:space="preserve">18.34 </w:t>
                  </w:r>
                </w:p>
              </w:tc>
              <w:tc>
                <w:tcPr>
                  <w:tcW w:w="1879" w:type="dxa"/>
                  <w:tcBorders>
                    <w:top w:val="single" w:color="000000" w:sz="4" w:space="0"/>
                    <w:left w:val="single" w:color="000000" w:sz="4" w:space="0"/>
                    <w:bottom w:val="single" w:color="000000" w:sz="4" w:space="0"/>
                    <w:right w:val="single" w:color="auto" w:sz="12" w:space="0"/>
                  </w:tcBorders>
                  <w:shd w:val="clear" w:color="auto" w:fill="auto"/>
                  <w:noWrap/>
                  <w:vAlign w:val="center"/>
                </w:tcPr>
                <w:p w14:paraId="39683992">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7.56%</w:t>
                  </w:r>
                </w:p>
              </w:tc>
            </w:tr>
            <w:tr w14:paraId="7820B194">
              <w:tblPrEx>
                <w:tblCellMar>
                  <w:top w:w="0" w:type="dxa"/>
                  <w:left w:w="108" w:type="dxa"/>
                  <w:bottom w:w="0" w:type="dxa"/>
                  <w:right w:w="108" w:type="dxa"/>
                </w:tblCellMar>
              </w:tblPrEx>
              <w:trPr>
                <w:trHeight w:val="272" w:hRule="atLeast"/>
                <w:jc w:val="center"/>
              </w:trPr>
              <w:tc>
                <w:tcPr>
                  <w:tcW w:w="802" w:type="dxa"/>
                  <w:tcBorders>
                    <w:top w:val="single" w:color="000000" w:sz="4" w:space="0"/>
                    <w:left w:val="single" w:color="auto" w:sz="12" w:space="0"/>
                    <w:bottom w:val="single" w:color="000000" w:sz="4" w:space="0"/>
                    <w:right w:val="single" w:color="000000" w:sz="4" w:space="0"/>
                  </w:tcBorders>
                  <w:shd w:val="clear" w:color="auto" w:fill="auto"/>
                  <w:noWrap/>
                  <w:vAlign w:val="center"/>
                </w:tcPr>
                <w:p w14:paraId="42D86C9C">
                  <w:pPr>
                    <w:widowControl/>
                    <w:jc w:val="center"/>
                    <w:textAlignment w:val="center"/>
                    <w:rPr>
                      <w:rFonts w:hint="default"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11</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CC6C5">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1104</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18066">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坑塘水面</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94117">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 xml:space="preserve">5.47 </w:t>
                  </w:r>
                </w:p>
              </w:tc>
              <w:tc>
                <w:tcPr>
                  <w:tcW w:w="1879" w:type="dxa"/>
                  <w:tcBorders>
                    <w:top w:val="single" w:color="000000" w:sz="4" w:space="0"/>
                    <w:left w:val="single" w:color="000000" w:sz="4" w:space="0"/>
                    <w:bottom w:val="single" w:color="000000" w:sz="4" w:space="0"/>
                    <w:right w:val="single" w:color="auto" w:sz="12" w:space="0"/>
                  </w:tcBorders>
                  <w:shd w:val="clear" w:color="auto" w:fill="auto"/>
                  <w:noWrap/>
                  <w:vAlign w:val="center"/>
                </w:tcPr>
                <w:p w14:paraId="6A6B657A">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2.26%</w:t>
                  </w:r>
                </w:p>
              </w:tc>
            </w:tr>
            <w:tr w14:paraId="30713BF2">
              <w:tblPrEx>
                <w:tblCellMar>
                  <w:top w:w="0" w:type="dxa"/>
                  <w:left w:w="108" w:type="dxa"/>
                  <w:bottom w:w="0" w:type="dxa"/>
                  <w:right w:w="108" w:type="dxa"/>
                </w:tblCellMar>
              </w:tblPrEx>
              <w:trPr>
                <w:trHeight w:val="272" w:hRule="atLeast"/>
                <w:jc w:val="center"/>
              </w:trPr>
              <w:tc>
                <w:tcPr>
                  <w:tcW w:w="802" w:type="dxa"/>
                  <w:tcBorders>
                    <w:top w:val="single" w:color="000000" w:sz="4" w:space="0"/>
                    <w:left w:val="single" w:color="auto" w:sz="12" w:space="0"/>
                    <w:bottom w:val="single" w:color="000000" w:sz="4" w:space="0"/>
                    <w:right w:val="single" w:color="000000" w:sz="4" w:space="0"/>
                  </w:tcBorders>
                  <w:shd w:val="clear" w:color="auto" w:fill="auto"/>
                  <w:noWrap/>
                  <w:vAlign w:val="center"/>
                </w:tcPr>
                <w:p w14:paraId="3F5BF6A3">
                  <w:pPr>
                    <w:widowControl/>
                    <w:jc w:val="center"/>
                    <w:textAlignment w:val="center"/>
                    <w:rPr>
                      <w:rFonts w:hint="default"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12</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3B46E">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1104A</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DF3A2">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养殖坑塘</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971B6">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 xml:space="preserve">1.23 </w:t>
                  </w:r>
                </w:p>
              </w:tc>
              <w:tc>
                <w:tcPr>
                  <w:tcW w:w="1879" w:type="dxa"/>
                  <w:tcBorders>
                    <w:top w:val="single" w:color="000000" w:sz="4" w:space="0"/>
                    <w:left w:val="single" w:color="000000" w:sz="4" w:space="0"/>
                    <w:bottom w:val="single" w:color="000000" w:sz="4" w:space="0"/>
                    <w:right w:val="single" w:color="auto" w:sz="12" w:space="0"/>
                  </w:tcBorders>
                  <w:shd w:val="clear" w:color="auto" w:fill="auto"/>
                  <w:noWrap/>
                  <w:vAlign w:val="center"/>
                </w:tcPr>
                <w:p w14:paraId="0A16A0CF">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0.51%</w:t>
                  </w:r>
                </w:p>
              </w:tc>
            </w:tr>
            <w:tr w14:paraId="793A901F">
              <w:tblPrEx>
                <w:tblCellMar>
                  <w:top w:w="0" w:type="dxa"/>
                  <w:left w:w="108" w:type="dxa"/>
                  <w:bottom w:w="0" w:type="dxa"/>
                  <w:right w:w="108" w:type="dxa"/>
                </w:tblCellMar>
              </w:tblPrEx>
              <w:trPr>
                <w:trHeight w:val="272" w:hRule="atLeast"/>
                <w:jc w:val="center"/>
              </w:trPr>
              <w:tc>
                <w:tcPr>
                  <w:tcW w:w="802" w:type="dxa"/>
                  <w:tcBorders>
                    <w:top w:val="single" w:color="000000" w:sz="4" w:space="0"/>
                    <w:left w:val="single" w:color="auto" w:sz="12" w:space="0"/>
                    <w:bottom w:val="single" w:color="000000" w:sz="4" w:space="0"/>
                    <w:right w:val="single" w:color="000000" w:sz="4" w:space="0"/>
                  </w:tcBorders>
                  <w:shd w:val="clear" w:color="auto" w:fill="auto"/>
                  <w:noWrap/>
                  <w:vAlign w:val="center"/>
                </w:tcPr>
                <w:p w14:paraId="665AC5B8">
                  <w:pPr>
                    <w:widowControl/>
                    <w:jc w:val="center"/>
                    <w:textAlignment w:val="center"/>
                    <w:rPr>
                      <w:rFonts w:hint="default"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13</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64874">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1107</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56BCD">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沟渠</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1C40D">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 xml:space="preserve">0.61 </w:t>
                  </w:r>
                </w:p>
              </w:tc>
              <w:tc>
                <w:tcPr>
                  <w:tcW w:w="1879" w:type="dxa"/>
                  <w:tcBorders>
                    <w:top w:val="single" w:color="000000" w:sz="4" w:space="0"/>
                    <w:left w:val="single" w:color="000000" w:sz="4" w:space="0"/>
                    <w:bottom w:val="single" w:color="000000" w:sz="4" w:space="0"/>
                    <w:right w:val="single" w:color="auto" w:sz="12" w:space="0"/>
                  </w:tcBorders>
                  <w:shd w:val="clear" w:color="auto" w:fill="auto"/>
                  <w:noWrap/>
                  <w:vAlign w:val="center"/>
                </w:tcPr>
                <w:p w14:paraId="62F2EBBA">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0.25%</w:t>
                  </w:r>
                </w:p>
              </w:tc>
            </w:tr>
            <w:tr w14:paraId="2605AE81">
              <w:tblPrEx>
                <w:tblCellMar>
                  <w:top w:w="0" w:type="dxa"/>
                  <w:left w:w="108" w:type="dxa"/>
                  <w:bottom w:w="0" w:type="dxa"/>
                  <w:right w:w="108" w:type="dxa"/>
                </w:tblCellMar>
              </w:tblPrEx>
              <w:trPr>
                <w:trHeight w:val="272" w:hRule="atLeast"/>
                <w:jc w:val="center"/>
              </w:trPr>
              <w:tc>
                <w:tcPr>
                  <w:tcW w:w="802" w:type="dxa"/>
                  <w:tcBorders>
                    <w:top w:val="single" w:color="000000" w:sz="4" w:space="0"/>
                    <w:left w:val="single" w:color="auto" w:sz="12" w:space="0"/>
                    <w:bottom w:val="single" w:color="000000" w:sz="4" w:space="0"/>
                    <w:right w:val="single" w:color="000000" w:sz="4" w:space="0"/>
                  </w:tcBorders>
                  <w:shd w:val="clear" w:color="auto" w:fill="auto"/>
                  <w:noWrap/>
                  <w:vAlign w:val="center"/>
                </w:tcPr>
                <w:p w14:paraId="5D918EC5">
                  <w:pPr>
                    <w:widowControl/>
                    <w:jc w:val="center"/>
                    <w:textAlignment w:val="center"/>
                    <w:rPr>
                      <w:rFonts w:hint="default"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14</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7A63D">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1206</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27F3F">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裸土地</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36159">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 xml:space="preserve">50.12 </w:t>
                  </w:r>
                </w:p>
              </w:tc>
              <w:tc>
                <w:tcPr>
                  <w:tcW w:w="1879" w:type="dxa"/>
                  <w:tcBorders>
                    <w:top w:val="single" w:color="000000" w:sz="4" w:space="0"/>
                    <w:left w:val="single" w:color="000000" w:sz="4" w:space="0"/>
                    <w:bottom w:val="single" w:color="000000" w:sz="4" w:space="0"/>
                    <w:right w:val="single" w:color="auto" w:sz="12" w:space="0"/>
                  </w:tcBorders>
                  <w:shd w:val="clear" w:color="auto" w:fill="auto"/>
                  <w:noWrap/>
                  <w:vAlign w:val="center"/>
                </w:tcPr>
                <w:p w14:paraId="7CC656AA">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20.67%</w:t>
                  </w:r>
                </w:p>
              </w:tc>
            </w:tr>
            <w:tr w14:paraId="186CDDA8">
              <w:tblPrEx>
                <w:tblCellMar>
                  <w:top w:w="0" w:type="dxa"/>
                  <w:left w:w="108" w:type="dxa"/>
                  <w:bottom w:w="0" w:type="dxa"/>
                  <w:right w:w="108" w:type="dxa"/>
                </w:tblCellMar>
              </w:tblPrEx>
              <w:trPr>
                <w:trHeight w:val="272" w:hRule="atLeast"/>
                <w:jc w:val="center"/>
              </w:trPr>
              <w:tc>
                <w:tcPr>
                  <w:tcW w:w="2017" w:type="dxa"/>
                  <w:gridSpan w:val="2"/>
                  <w:tcBorders>
                    <w:top w:val="single" w:color="000000" w:sz="4" w:space="0"/>
                    <w:left w:val="single" w:color="auto" w:sz="12" w:space="0"/>
                    <w:bottom w:val="single" w:color="auto" w:sz="12" w:space="0"/>
                    <w:right w:val="single" w:color="000000" w:sz="4" w:space="0"/>
                  </w:tcBorders>
                  <w:shd w:val="clear" w:color="auto" w:fill="auto"/>
                  <w:noWrap/>
                  <w:vAlign w:val="center"/>
                </w:tcPr>
                <w:p w14:paraId="34BAFDF0">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合计</w:t>
                  </w:r>
                </w:p>
              </w:tc>
              <w:tc>
                <w:tcPr>
                  <w:tcW w:w="1725" w:type="dxa"/>
                  <w:tcBorders>
                    <w:top w:val="single" w:color="000000" w:sz="4" w:space="0"/>
                    <w:left w:val="single" w:color="000000" w:sz="4" w:space="0"/>
                    <w:bottom w:val="single" w:color="auto" w:sz="12" w:space="0"/>
                    <w:right w:val="single" w:color="000000" w:sz="4" w:space="0"/>
                  </w:tcBorders>
                  <w:shd w:val="clear" w:color="auto" w:fill="auto"/>
                  <w:noWrap/>
                  <w:vAlign w:val="center"/>
                </w:tcPr>
                <w:p w14:paraId="3BEE2D3D">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p>
              </w:tc>
              <w:tc>
                <w:tcPr>
                  <w:tcW w:w="2100" w:type="dxa"/>
                  <w:tcBorders>
                    <w:top w:val="single" w:color="000000" w:sz="4" w:space="0"/>
                    <w:left w:val="single" w:color="000000" w:sz="4" w:space="0"/>
                    <w:bottom w:val="single" w:color="auto" w:sz="12" w:space="0"/>
                    <w:right w:val="single" w:color="000000" w:sz="4" w:space="0"/>
                  </w:tcBorders>
                  <w:shd w:val="clear" w:color="auto" w:fill="auto"/>
                  <w:noWrap/>
                  <w:vAlign w:val="center"/>
                </w:tcPr>
                <w:p w14:paraId="5106237A">
                  <w:pPr>
                    <w:widowControl/>
                    <w:jc w:val="center"/>
                    <w:textAlignment w:val="center"/>
                    <w:rPr>
                      <w:rFonts w:hint="default"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242.44</w:t>
                  </w:r>
                </w:p>
              </w:tc>
              <w:tc>
                <w:tcPr>
                  <w:tcW w:w="1879" w:type="dxa"/>
                  <w:tcBorders>
                    <w:top w:val="single" w:color="000000" w:sz="4" w:space="0"/>
                    <w:left w:val="single" w:color="000000" w:sz="4" w:space="0"/>
                    <w:bottom w:val="single" w:color="auto" w:sz="12" w:space="0"/>
                    <w:right w:val="single" w:color="auto" w:sz="12" w:space="0"/>
                  </w:tcBorders>
                  <w:shd w:val="clear" w:color="auto" w:fill="auto"/>
                  <w:noWrap/>
                  <w:vAlign w:val="center"/>
                </w:tcPr>
                <w:p w14:paraId="373515C3">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100.00%</w:t>
                  </w:r>
                </w:p>
              </w:tc>
            </w:tr>
          </w:tbl>
          <w:p w14:paraId="66736BD9">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sz w:val="28"/>
                <w:szCs w:val="28"/>
              </w:rPr>
            </w:pPr>
          </w:p>
          <w:p w14:paraId="6A48E156">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rPr>
              <w:t>呼玛县东大沟CT2327212016000052001图斑范围</w:t>
            </w:r>
            <w:r>
              <w:rPr>
                <w:rFonts w:hint="eastAsia" w:asciiTheme="minorEastAsia" w:hAnsiTheme="minorEastAsia" w:eastAsiaTheme="minorEastAsia" w:cstheme="minorEastAsia"/>
                <w:b w:val="0"/>
                <w:bCs w:val="0"/>
                <w:sz w:val="28"/>
                <w:szCs w:val="28"/>
                <w:lang w:eastAsia="zh-CN"/>
              </w:rPr>
              <w:t>，</w:t>
            </w:r>
            <w:r>
              <w:rPr>
                <w:rFonts w:hint="eastAsia" w:asciiTheme="minorEastAsia" w:hAnsiTheme="minorEastAsia" w:eastAsiaTheme="minorEastAsia" w:cstheme="minorEastAsia"/>
                <w:b w:val="0"/>
                <w:bCs w:val="0"/>
                <w:sz w:val="28"/>
                <w:szCs w:val="28"/>
              </w:rPr>
              <w:t>经过近20年时间的自然修复，生态自然修复程度较高，效果较好。</w:t>
            </w:r>
            <w:r>
              <w:rPr>
                <w:rFonts w:hint="eastAsia" w:asciiTheme="minorEastAsia" w:hAnsiTheme="minorEastAsia" w:eastAsiaTheme="minorEastAsia" w:cstheme="minorEastAsia"/>
                <w:b w:val="0"/>
                <w:bCs w:val="0"/>
                <w:sz w:val="28"/>
                <w:szCs w:val="28"/>
                <w:lang w:val="en-US" w:eastAsia="zh-CN"/>
              </w:rPr>
              <w:t>修复为乔木林地167.67公顷，森林沼泽155.58公顷，灌木林地36.52公顷，灌丛沼泽172.95公顷，沼泽草地25.94公顷，河流水面74.36公顷，坑塘水面3.59公顷，裸土地85.36公顷，农村道路0.58公顷；转型利用修复，公路用地4.81公顷。详见下表：</w:t>
            </w:r>
          </w:p>
          <w:p w14:paraId="6EB641A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CT2327212016000052001</w:t>
            </w:r>
            <w:r>
              <w:rPr>
                <w:rFonts w:hint="eastAsia" w:asciiTheme="minorEastAsia" w:hAnsiTheme="minorEastAsia" w:eastAsiaTheme="minorEastAsia" w:cstheme="minorEastAsia"/>
                <w:b w:val="0"/>
                <w:bCs w:val="0"/>
                <w:sz w:val="28"/>
                <w:szCs w:val="28"/>
                <w:lang w:eastAsia="zh-CN"/>
              </w:rPr>
              <w:t>图斑</w:t>
            </w:r>
            <w:r>
              <w:rPr>
                <w:rFonts w:hint="eastAsia" w:asciiTheme="minorEastAsia" w:hAnsiTheme="minorEastAsia" w:eastAsiaTheme="minorEastAsia" w:cstheme="minorEastAsia"/>
                <w:b w:val="0"/>
                <w:bCs w:val="0"/>
                <w:sz w:val="28"/>
                <w:szCs w:val="28"/>
              </w:rPr>
              <w:t>土地利用现状统计表</w:t>
            </w:r>
          </w:p>
          <w:tbl>
            <w:tblPr>
              <w:tblStyle w:val="8"/>
              <w:tblW w:w="7810" w:type="dxa"/>
              <w:jc w:val="center"/>
              <w:tblLayout w:type="fixed"/>
              <w:tblCellMar>
                <w:top w:w="0" w:type="dxa"/>
                <w:left w:w="108" w:type="dxa"/>
                <w:bottom w:w="0" w:type="dxa"/>
                <w:right w:w="108" w:type="dxa"/>
              </w:tblCellMar>
            </w:tblPr>
            <w:tblGrid>
              <w:gridCol w:w="802"/>
              <w:gridCol w:w="1215"/>
              <w:gridCol w:w="1725"/>
              <w:gridCol w:w="2100"/>
              <w:gridCol w:w="1968"/>
            </w:tblGrid>
            <w:tr w14:paraId="4E756A13">
              <w:tblPrEx>
                <w:tblCellMar>
                  <w:top w:w="0" w:type="dxa"/>
                  <w:left w:w="108" w:type="dxa"/>
                  <w:bottom w:w="0" w:type="dxa"/>
                  <w:right w:w="108" w:type="dxa"/>
                </w:tblCellMar>
              </w:tblPrEx>
              <w:trPr>
                <w:trHeight w:val="272" w:hRule="atLeast"/>
                <w:jc w:val="center"/>
              </w:trPr>
              <w:tc>
                <w:tcPr>
                  <w:tcW w:w="802" w:type="dxa"/>
                  <w:tcBorders>
                    <w:top w:val="single" w:color="auto" w:sz="12" w:space="0"/>
                    <w:left w:val="single" w:color="auto" w:sz="12" w:space="0"/>
                    <w:bottom w:val="single" w:color="000000" w:sz="4" w:space="0"/>
                    <w:right w:val="single" w:color="000000" w:sz="4" w:space="0"/>
                  </w:tcBorders>
                  <w:shd w:val="clear" w:color="auto" w:fill="auto"/>
                  <w:noWrap/>
                  <w:vAlign w:val="center"/>
                </w:tcPr>
                <w:p w14:paraId="1164FE5C">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序号</w:t>
                  </w:r>
                </w:p>
              </w:tc>
              <w:tc>
                <w:tcPr>
                  <w:tcW w:w="1215" w:type="dxa"/>
                  <w:tcBorders>
                    <w:top w:val="single" w:color="auto" w:sz="12" w:space="0"/>
                    <w:left w:val="single" w:color="000000" w:sz="4" w:space="0"/>
                    <w:bottom w:val="single" w:color="000000" w:sz="4" w:space="0"/>
                    <w:right w:val="single" w:color="000000" w:sz="4" w:space="0"/>
                  </w:tcBorders>
                  <w:shd w:val="clear" w:color="auto" w:fill="auto"/>
                  <w:noWrap/>
                  <w:vAlign w:val="center"/>
                </w:tcPr>
                <w:p w14:paraId="7B6971AD">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地类编码</w:t>
                  </w:r>
                </w:p>
              </w:tc>
              <w:tc>
                <w:tcPr>
                  <w:tcW w:w="1725" w:type="dxa"/>
                  <w:tcBorders>
                    <w:top w:val="single" w:color="auto" w:sz="12" w:space="0"/>
                    <w:left w:val="single" w:color="000000" w:sz="4" w:space="0"/>
                    <w:bottom w:val="single" w:color="000000" w:sz="4" w:space="0"/>
                    <w:right w:val="single" w:color="000000" w:sz="4" w:space="0"/>
                  </w:tcBorders>
                  <w:shd w:val="clear" w:color="auto" w:fill="auto"/>
                  <w:noWrap/>
                  <w:vAlign w:val="center"/>
                </w:tcPr>
                <w:p w14:paraId="3C157114">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地类名称</w:t>
                  </w:r>
                </w:p>
              </w:tc>
              <w:tc>
                <w:tcPr>
                  <w:tcW w:w="2100" w:type="dxa"/>
                  <w:tcBorders>
                    <w:top w:val="single" w:color="auto" w:sz="12" w:space="0"/>
                    <w:left w:val="single" w:color="000000" w:sz="4" w:space="0"/>
                    <w:bottom w:val="single" w:color="000000" w:sz="4" w:space="0"/>
                    <w:right w:val="single" w:color="000000" w:sz="4" w:space="0"/>
                  </w:tcBorders>
                  <w:shd w:val="clear" w:color="auto" w:fill="auto"/>
                  <w:noWrap/>
                  <w:vAlign w:val="center"/>
                </w:tcPr>
                <w:p w14:paraId="526C1101">
                  <w:pPr>
                    <w:widowControl/>
                    <w:jc w:val="center"/>
                    <w:textAlignment w:val="center"/>
                    <w:rPr>
                      <w:rFonts w:hint="default"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面积（公顷）</w:t>
                  </w:r>
                </w:p>
              </w:tc>
              <w:tc>
                <w:tcPr>
                  <w:tcW w:w="1968" w:type="dxa"/>
                  <w:tcBorders>
                    <w:top w:val="single" w:color="auto" w:sz="12" w:space="0"/>
                    <w:left w:val="single" w:color="000000" w:sz="4" w:space="0"/>
                    <w:bottom w:val="single" w:color="000000" w:sz="4" w:space="0"/>
                    <w:right w:val="single" w:color="auto" w:sz="12" w:space="0"/>
                  </w:tcBorders>
                  <w:shd w:val="clear" w:color="auto" w:fill="auto"/>
                  <w:noWrap/>
                  <w:vAlign w:val="center"/>
                </w:tcPr>
                <w:p w14:paraId="59DC7936">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占比</w:t>
                  </w:r>
                </w:p>
              </w:tc>
            </w:tr>
            <w:tr w14:paraId="6FB3C58A">
              <w:tblPrEx>
                <w:tblCellMar>
                  <w:top w:w="0" w:type="dxa"/>
                  <w:left w:w="108" w:type="dxa"/>
                  <w:bottom w:w="0" w:type="dxa"/>
                  <w:right w:w="108" w:type="dxa"/>
                </w:tblCellMar>
              </w:tblPrEx>
              <w:trPr>
                <w:trHeight w:val="272" w:hRule="atLeast"/>
                <w:jc w:val="center"/>
              </w:trPr>
              <w:tc>
                <w:tcPr>
                  <w:tcW w:w="802" w:type="dxa"/>
                  <w:tcBorders>
                    <w:top w:val="single" w:color="000000" w:sz="4" w:space="0"/>
                    <w:left w:val="single" w:color="auto" w:sz="12" w:space="0"/>
                    <w:bottom w:val="single" w:color="000000" w:sz="4" w:space="0"/>
                    <w:right w:val="single" w:color="000000" w:sz="4" w:space="0"/>
                  </w:tcBorders>
                  <w:shd w:val="clear" w:color="auto" w:fill="auto"/>
                  <w:noWrap/>
                  <w:vAlign w:val="center"/>
                </w:tcPr>
                <w:p w14:paraId="7B0D0863">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83A38">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0301</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90086">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乔木林地</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8C900">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 xml:space="preserve">167.67 </w:t>
                  </w:r>
                </w:p>
              </w:tc>
              <w:tc>
                <w:tcPr>
                  <w:tcW w:w="1968" w:type="dxa"/>
                  <w:tcBorders>
                    <w:top w:val="single" w:color="000000" w:sz="4" w:space="0"/>
                    <w:left w:val="single" w:color="000000" w:sz="4" w:space="0"/>
                    <w:bottom w:val="single" w:color="000000" w:sz="4" w:space="0"/>
                    <w:right w:val="single" w:color="auto" w:sz="12" w:space="0"/>
                  </w:tcBorders>
                  <w:shd w:val="clear" w:color="auto" w:fill="auto"/>
                  <w:noWrap/>
                  <w:vAlign w:val="center"/>
                </w:tcPr>
                <w:p w14:paraId="625B186F">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23.05%</w:t>
                  </w:r>
                </w:p>
              </w:tc>
            </w:tr>
            <w:tr w14:paraId="3982FD8B">
              <w:tblPrEx>
                <w:tblCellMar>
                  <w:top w:w="0" w:type="dxa"/>
                  <w:left w:w="108" w:type="dxa"/>
                  <w:bottom w:w="0" w:type="dxa"/>
                  <w:right w:w="108" w:type="dxa"/>
                </w:tblCellMar>
              </w:tblPrEx>
              <w:trPr>
                <w:trHeight w:val="272" w:hRule="atLeast"/>
                <w:jc w:val="center"/>
              </w:trPr>
              <w:tc>
                <w:tcPr>
                  <w:tcW w:w="802" w:type="dxa"/>
                  <w:tcBorders>
                    <w:top w:val="single" w:color="000000" w:sz="4" w:space="0"/>
                    <w:left w:val="single" w:color="auto" w:sz="12" w:space="0"/>
                    <w:bottom w:val="single" w:color="000000" w:sz="4" w:space="0"/>
                    <w:right w:val="single" w:color="000000" w:sz="4" w:space="0"/>
                  </w:tcBorders>
                  <w:shd w:val="clear" w:color="auto" w:fill="auto"/>
                  <w:noWrap/>
                  <w:vAlign w:val="center"/>
                </w:tcPr>
                <w:p w14:paraId="6C39B4B7">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2</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CF6A8">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0304</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DA9F5">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森林沼泽</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86E32">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 xml:space="preserve">155.58 </w:t>
                  </w:r>
                </w:p>
              </w:tc>
              <w:tc>
                <w:tcPr>
                  <w:tcW w:w="1968" w:type="dxa"/>
                  <w:tcBorders>
                    <w:top w:val="single" w:color="000000" w:sz="4" w:space="0"/>
                    <w:left w:val="single" w:color="000000" w:sz="4" w:space="0"/>
                    <w:bottom w:val="single" w:color="000000" w:sz="4" w:space="0"/>
                    <w:right w:val="single" w:color="auto" w:sz="12" w:space="0"/>
                  </w:tcBorders>
                  <w:shd w:val="clear" w:color="auto" w:fill="auto"/>
                  <w:noWrap/>
                  <w:vAlign w:val="center"/>
                </w:tcPr>
                <w:p w14:paraId="04709AD5">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21.39%</w:t>
                  </w:r>
                </w:p>
              </w:tc>
            </w:tr>
            <w:tr w14:paraId="49388A54">
              <w:tblPrEx>
                <w:tblCellMar>
                  <w:top w:w="0" w:type="dxa"/>
                  <w:left w:w="108" w:type="dxa"/>
                  <w:bottom w:w="0" w:type="dxa"/>
                  <w:right w:w="108" w:type="dxa"/>
                </w:tblCellMar>
              </w:tblPrEx>
              <w:trPr>
                <w:trHeight w:val="272" w:hRule="atLeast"/>
                <w:jc w:val="center"/>
              </w:trPr>
              <w:tc>
                <w:tcPr>
                  <w:tcW w:w="802" w:type="dxa"/>
                  <w:tcBorders>
                    <w:top w:val="single" w:color="000000" w:sz="4" w:space="0"/>
                    <w:left w:val="single" w:color="auto" w:sz="12" w:space="0"/>
                    <w:bottom w:val="single" w:color="000000" w:sz="4" w:space="0"/>
                    <w:right w:val="single" w:color="000000" w:sz="4" w:space="0"/>
                  </w:tcBorders>
                  <w:shd w:val="clear" w:color="auto" w:fill="auto"/>
                  <w:noWrap/>
                  <w:vAlign w:val="center"/>
                </w:tcPr>
                <w:p w14:paraId="06AF1B13">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3</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3B3E6">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0305</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4D03C">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灌木林地</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3FD99">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 xml:space="preserve">36.52 </w:t>
                  </w:r>
                </w:p>
              </w:tc>
              <w:tc>
                <w:tcPr>
                  <w:tcW w:w="1968" w:type="dxa"/>
                  <w:tcBorders>
                    <w:top w:val="single" w:color="000000" w:sz="4" w:space="0"/>
                    <w:left w:val="single" w:color="000000" w:sz="4" w:space="0"/>
                    <w:bottom w:val="single" w:color="000000" w:sz="4" w:space="0"/>
                    <w:right w:val="single" w:color="auto" w:sz="12" w:space="0"/>
                  </w:tcBorders>
                  <w:shd w:val="clear" w:color="auto" w:fill="auto"/>
                  <w:noWrap/>
                  <w:vAlign w:val="center"/>
                </w:tcPr>
                <w:p w14:paraId="3F353C93">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5.02%</w:t>
                  </w:r>
                </w:p>
              </w:tc>
            </w:tr>
            <w:tr w14:paraId="5FC7D345">
              <w:tblPrEx>
                <w:tblCellMar>
                  <w:top w:w="0" w:type="dxa"/>
                  <w:left w:w="108" w:type="dxa"/>
                  <w:bottom w:w="0" w:type="dxa"/>
                  <w:right w:w="108" w:type="dxa"/>
                </w:tblCellMar>
              </w:tblPrEx>
              <w:trPr>
                <w:trHeight w:val="272" w:hRule="atLeast"/>
                <w:jc w:val="center"/>
              </w:trPr>
              <w:tc>
                <w:tcPr>
                  <w:tcW w:w="802" w:type="dxa"/>
                  <w:tcBorders>
                    <w:top w:val="single" w:color="000000" w:sz="4" w:space="0"/>
                    <w:left w:val="single" w:color="auto" w:sz="12" w:space="0"/>
                    <w:bottom w:val="single" w:color="000000" w:sz="4" w:space="0"/>
                    <w:right w:val="single" w:color="000000" w:sz="4" w:space="0"/>
                  </w:tcBorders>
                  <w:shd w:val="clear" w:color="auto" w:fill="auto"/>
                  <w:noWrap/>
                  <w:vAlign w:val="center"/>
                </w:tcPr>
                <w:p w14:paraId="79E25356">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4</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338A4">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0306</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66857">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灌丛沼泽</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C10CE">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 xml:space="preserve">172.95 </w:t>
                  </w:r>
                </w:p>
              </w:tc>
              <w:tc>
                <w:tcPr>
                  <w:tcW w:w="1968" w:type="dxa"/>
                  <w:tcBorders>
                    <w:top w:val="single" w:color="000000" w:sz="4" w:space="0"/>
                    <w:left w:val="single" w:color="000000" w:sz="4" w:space="0"/>
                    <w:bottom w:val="single" w:color="000000" w:sz="4" w:space="0"/>
                    <w:right w:val="single" w:color="auto" w:sz="12" w:space="0"/>
                  </w:tcBorders>
                  <w:shd w:val="clear" w:color="auto" w:fill="auto"/>
                  <w:noWrap/>
                  <w:vAlign w:val="center"/>
                </w:tcPr>
                <w:p w14:paraId="011BBB7D">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23.78%</w:t>
                  </w:r>
                </w:p>
              </w:tc>
            </w:tr>
            <w:tr w14:paraId="3A65EDB2">
              <w:tblPrEx>
                <w:tblCellMar>
                  <w:top w:w="0" w:type="dxa"/>
                  <w:left w:w="108" w:type="dxa"/>
                  <w:bottom w:w="0" w:type="dxa"/>
                  <w:right w:w="108" w:type="dxa"/>
                </w:tblCellMar>
              </w:tblPrEx>
              <w:trPr>
                <w:trHeight w:val="272" w:hRule="atLeast"/>
                <w:jc w:val="center"/>
              </w:trPr>
              <w:tc>
                <w:tcPr>
                  <w:tcW w:w="802" w:type="dxa"/>
                  <w:tcBorders>
                    <w:top w:val="single" w:color="000000" w:sz="4" w:space="0"/>
                    <w:left w:val="single" w:color="auto" w:sz="12" w:space="0"/>
                    <w:bottom w:val="single" w:color="000000" w:sz="4" w:space="0"/>
                    <w:right w:val="single" w:color="000000" w:sz="4" w:space="0"/>
                  </w:tcBorders>
                  <w:shd w:val="clear" w:color="auto" w:fill="auto"/>
                  <w:noWrap/>
                  <w:vAlign w:val="center"/>
                </w:tcPr>
                <w:p w14:paraId="304F6019">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5</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0FAD2">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0402</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FA4AB">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沼泽草地</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5A1AC">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 xml:space="preserve">25.94 </w:t>
                  </w:r>
                </w:p>
              </w:tc>
              <w:tc>
                <w:tcPr>
                  <w:tcW w:w="1968" w:type="dxa"/>
                  <w:tcBorders>
                    <w:top w:val="single" w:color="000000" w:sz="4" w:space="0"/>
                    <w:left w:val="single" w:color="000000" w:sz="4" w:space="0"/>
                    <w:bottom w:val="single" w:color="000000" w:sz="4" w:space="0"/>
                    <w:right w:val="single" w:color="auto" w:sz="12" w:space="0"/>
                  </w:tcBorders>
                  <w:shd w:val="clear" w:color="auto" w:fill="auto"/>
                  <w:noWrap/>
                  <w:vAlign w:val="center"/>
                </w:tcPr>
                <w:p w14:paraId="3C64E50B">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3.57%</w:t>
                  </w:r>
                </w:p>
              </w:tc>
            </w:tr>
            <w:tr w14:paraId="30F1E839">
              <w:tblPrEx>
                <w:tblCellMar>
                  <w:top w:w="0" w:type="dxa"/>
                  <w:left w:w="108" w:type="dxa"/>
                  <w:bottom w:w="0" w:type="dxa"/>
                  <w:right w:w="108" w:type="dxa"/>
                </w:tblCellMar>
              </w:tblPrEx>
              <w:trPr>
                <w:trHeight w:val="272" w:hRule="atLeast"/>
                <w:jc w:val="center"/>
              </w:trPr>
              <w:tc>
                <w:tcPr>
                  <w:tcW w:w="802" w:type="dxa"/>
                  <w:tcBorders>
                    <w:top w:val="single" w:color="000000" w:sz="4" w:space="0"/>
                    <w:left w:val="single" w:color="auto" w:sz="12" w:space="0"/>
                    <w:bottom w:val="single" w:color="000000" w:sz="4" w:space="0"/>
                    <w:right w:val="single" w:color="000000" w:sz="4" w:space="0"/>
                  </w:tcBorders>
                  <w:shd w:val="clear" w:color="auto" w:fill="auto"/>
                  <w:noWrap/>
                  <w:vAlign w:val="center"/>
                </w:tcPr>
                <w:p w14:paraId="2503FCB9">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6</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81E5D">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1003</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985FE">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公路用地</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1543A">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 xml:space="preserve">4.81 </w:t>
                  </w:r>
                </w:p>
              </w:tc>
              <w:tc>
                <w:tcPr>
                  <w:tcW w:w="1968" w:type="dxa"/>
                  <w:tcBorders>
                    <w:top w:val="single" w:color="000000" w:sz="4" w:space="0"/>
                    <w:left w:val="single" w:color="000000" w:sz="4" w:space="0"/>
                    <w:bottom w:val="single" w:color="000000" w:sz="4" w:space="0"/>
                    <w:right w:val="single" w:color="auto" w:sz="12" w:space="0"/>
                  </w:tcBorders>
                  <w:shd w:val="clear" w:color="auto" w:fill="auto"/>
                  <w:noWrap/>
                  <w:vAlign w:val="center"/>
                </w:tcPr>
                <w:p w14:paraId="0DA81302">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0.66%</w:t>
                  </w:r>
                </w:p>
              </w:tc>
            </w:tr>
            <w:tr w14:paraId="225F37D7">
              <w:tblPrEx>
                <w:tblCellMar>
                  <w:top w:w="0" w:type="dxa"/>
                  <w:left w:w="108" w:type="dxa"/>
                  <w:bottom w:w="0" w:type="dxa"/>
                  <w:right w:w="108" w:type="dxa"/>
                </w:tblCellMar>
              </w:tblPrEx>
              <w:trPr>
                <w:trHeight w:val="272" w:hRule="atLeast"/>
                <w:jc w:val="center"/>
              </w:trPr>
              <w:tc>
                <w:tcPr>
                  <w:tcW w:w="802" w:type="dxa"/>
                  <w:tcBorders>
                    <w:top w:val="single" w:color="000000" w:sz="4" w:space="0"/>
                    <w:left w:val="single" w:color="auto" w:sz="12" w:space="0"/>
                    <w:bottom w:val="single" w:color="000000" w:sz="4" w:space="0"/>
                    <w:right w:val="single" w:color="000000" w:sz="4" w:space="0"/>
                  </w:tcBorders>
                  <w:shd w:val="clear" w:color="auto" w:fill="auto"/>
                  <w:noWrap/>
                  <w:vAlign w:val="center"/>
                </w:tcPr>
                <w:p w14:paraId="60E8D49B">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7</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17C9D">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1006</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D04C6">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农村道路</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36E52">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 xml:space="preserve">0.58 </w:t>
                  </w:r>
                </w:p>
              </w:tc>
              <w:tc>
                <w:tcPr>
                  <w:tcW w:w="1968" w:type="dxa"/>
                  <w:tcBorders>
                    <w:top w:val="single" w:color="000000" w:sz="4" w:space="0"/>
                    <w:left w:val="single" w:color="000000" w:sz="4" w:space="0"/>
                    <w:bottom w:val="single" w:color="000000" w:sz="4" w:space="0"/>
                    <w:right w:val="single" w:color="auto" w:sz="12" w:space="0"/>
                  </w:tcBorders>
                  <w:shd w:val="clear" w:color="auto" w:fill="auto"/>
                  <w:noWrap/>
                  <w:vAlign w:val="center"/>
                </w:tcPr>
                <w:p w14:paraId="3CD6EC97">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0.08%</w:t>
                  </w:r>
                </w:p>
              </w:tc>
            </w:tr>
            <w:tr w14:paraId="57633613">
              <w:tblPrEx>
                <w:tblCellMar>
                  <w:top w:w="0" w:type="dxa"/>
                  <w:left w:w="108" w:type="dxa"/>
                  <w:bottom w:w="0" w:type="dxa"/>
                  <w:right w:w="108" w:type="dxa"/>
                </w:tblCellMar>
              </w:tblPrEx>
              <w:trPr>
                <w:trHeight w:val="272" w:hRule="atLeast"/>
                <w:jc w:val="center"/>
              </w:trPr>
              <w:tc>
                <w:tcPr>
                  <w:tcW w:w="802" w:type="dxa"/>
                  <w:tcBorders>
                    <w:top w:val="single" w:color="000000" w:sz="4" w:space="0"/>
                    <w:left w:val="single" w:color="auto" w:sz="12" w:space="0"/>
                    <w:bottom w:val="single" w:color="000000" w:sz="4" w:space="0"/>
                    <w:right w:val="single" w:color="000000" w:sz="4" w:space="0"/>
                  </w:tcBorders>
                  <w:shd w:val="clear" w:color="auto" w:fill="auto"/>
                  <w:noWrap/>
                  <w:vAlign w:val="center"/>
                </w:tcPr>
                <w:p w14:paraId="627704B3">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8</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54C53">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1101</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405D9">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河流水面</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C01E6">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 xml:space="preserve">74.36 </w:t>
                  </w:r>
                </w:p>
              </w:tc>
              <w:tc>
                <w:tcPr>
                  <w:tcW w:w="1968" w:type="dxa"/>
                  <w:tcBorders>
                    <w:top w:val="single" w:color="000000" w:sz="4" w:space="0"/>
                    <w:left w:val="single" w:color="000000" w:sz="4" w:space="0"/>
                    <w:bottom w:val="single" w:color="000000" w:sz="4" w:space="0"/>
                    <w:right w:val="single" w:color="auto" w:sz="12" w:space="0"/>
                  </w:tcBorders>
                  <w:shd w:val="clear" w:color="auto" w:fill="auto"/>
                  <w:noWrap/>
                  <w:vAlign w:val="center"/>
                </w:tcPr>
                <w:p w14:paraId="17CF0856">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10.22%</w:t>
                  </w:r>
                </w:p>
              </w:tc>
            </w:tr>
            <w:tr w14:paraId="45FB0787">
              <w:tblPrEx>
                <w:tblCellMar>
                  <w:top w:w="0" w:type="dxa"/>
                  <w:left w:w="108" w:type="dxa"/>
                  <w:bottom w:w="0" w:type="dxa"/>
                  <w:right w:w="108" w:type="dxa"/>
                </w:tblCellMar>
              </w:tblPrEx>
              <w:trPr>
                <w:trHeight w:val="272" w:hRule="atLeast"/>
                <w:jc w:val="center"/>
              </w:trPr>
              <w:tc>
                <w:tcPr>
                  <w:tcW w:w="802" w:type="dxa"/>
                  <w:tcBorders>
                    <w:top w:val="single" w:color="000000" w:sz="4" w:space="0"/>
                    <w:left w:val="single" w:color="auto" w:sz="12" w:space="0"/>
                    <w:bottom w:val="single" w:color="000000" w:sz="4" w:space="0"/>
                    <w:right w:val="single" w:color="000000" w:sz="4" w:space="0"/>
                  </w:tcBorders>
                  <w:shd w:val="clear" w:color="auto" w:fill="auto"/>
                  <w:noWrap/>
                  <w:vAlign w:val="center"/>
                </w:tcPr>
                <w:p w14:paraId="4AC6BFCA">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9</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60C88">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1104</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ACCFB">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坑塘水面</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24BC1">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 xml:space="preserve">3.59 </w:t>
                  </w:r>
                </w:p>
              </w:tc>
              <w:tc>
                <w:tcPr>
                  <w:tcW w:w="1968" w:type="dxa"/>
                  <w:tcBorders>
                    <w:top w:val="single" w:color="000000" w:sz="4" w:space="0"/>
                    <w:left w:val="single" w:color="000000" w:sz="4" w:space="0"/>
                    <w:bottom w:val="single" w:color="000000" w:sz="4" w:space="0"/>
                    <w:right w:val="single" w:color="auto" w:sz="12" w:space="0"/>
                  </w:tcBorders>
                  <w:shd w:val="clear" w:color="auto" w:fill="auto"/>
                  <w:noWrap/>
                  <w:vAlign w:val="center"/>
                </w:tcPr>
                <w:p w14:paraId="2E354A67">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0.49%</w:t>
                  </w:r>
                </w:p>
              </w:tc>
            </w:tr>
            <w:tr w14:paraId="7F2F5034">
              <w:tblPrEx>
                <w:tblCellMar>
                  <w:top w:w="0" w:type="dxa"/>
                  <w:left w:w="108" w:type="dxa"/>
                  <w:bottom w:w="0" w:type="dxa"/>
                  <w:right w:w="108" w:type="dxa"/>
                </w:tblCellMar>
              </w:tblPrEx>
              <w:trPr>
                <w:trHeight w:val="272" w:hRule="atLeast"/>
                <w:jc w:val="center"/>
              </w:trPr>
              <w:tc>
                <w:tcPr>
                  <w:tcW w:w="802" w:type="dxa"/>
                  <w:tcBorders>
                    <w:top w:val="single" w:color="000000" w:sz="4" w:space="0"/>
                    <w:left w:val="single" w:color="auto" w:sz="12" w:space="0"/>
                    <w:bottom w:val="single" w:color="000000" w:sz="4" w:space="0"/>
                    <w:right w:val="single" w:color="000000" w:sz="4" w:space="0"/>
                  </w:tcBorders>
                  <w:shd w:val="clear" w:color="auto" w:fill="auto"/>
                  <w:noWrap/>
                  <w:vAlign w:val="center"/>
                </w:tcPr>
                <w:p w14:paraId="66330216">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10</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86882">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1206</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A94FD">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裸土地</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C4B7F">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 xml:space="preserve">85.36 </w:t>
                  </w:r>
                </w:p>
              </w:tc>
              <w:tc>
                <w:tcPr>
                  <w:tcW w:w="1968" w:type="dxa"/>
                  <w:tcBorders>
                    <w:top w:val="single" w:color="000000" w:sz="4" w:space="0"/>
                    <w:left w:val="single" w:color="000000" w:sz="4" w:space="0"/>
                    <w:bottom w:val="single" w:color="000000" w:sz="4" w:space="0"/>
                    <w:right w:val="single" w:color="auto" w:sz="12" w:space="0"/>
                  </w:tcBorders>
                  <w:shd w:val="clear" w:color="auto" w:fill="auto"/>
                  <w:noWrap/>
                  <w:vAlign w:val="center"/>
                </w:tcPr>
                <w:p w14:paraId="0B56DBA9">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11.74%</w:t>
                  </w:r>
                </w:p>
              </w:tc>
            </w:tr>
            <w:tr w14:paraId="69037CF0">
              <w:tblPrEx>
                <w:tblCellMar>
                  <w:top w:w="0" w:type="dxa"/>
                  <w:left w:w="108" w:type="dxa"/>
                  <w:bottom w:w="0" w:type="dxa"/>
                  <w:right w:w="108" w:type="dxa"/>
                </w:tblCellMar>
              </w:tblPrEx>
              <w:trPr>
                <w:trHeight w:val="272" w:hRule="atLeast"/>
                <w:jc w:val="center"/>
              </w:trPr>
              <w:tc>
                <w:tcPr>
                  <w:tcW w:w="2017" w:type="dxa"/>
                  <w:gridSpan w:val="2"/>
                  <w:tcBorders>
                    <w:top w:val="single" w:color="000000" w:sz="4" w:space="0"/>
                    <w:left w:val="single" w:color="auto" w:sz="12" w:space="0"/>
                    <w:bottom w:val="single" w:color="auto" w:sz="12" w:space="0"/>
                    <w:right w:val="single" w:color="000000" w:sz="4" w:space="0"/>
                  </w:tcBorders>
                  <w:shd w:val="clear" w:color="auto" w:fill="auto"/>
                  <w:noWrap/>
                  <w:vAlign w:val="center"/>
                </w:tcPr>
                <w:p w14:paraId="087B4426">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合计</w:t>
                  </w:r>
                </w:p>
              </w:tc>
              <w:tc>
                <w:tcPr>
                  <w:tcW w:w="1725" w:type="dxa"/>
                  <w:tcBorders>
                    <w:top w:val="single" w:color="000000" w:sz="4" w:space="0"/>
                    <w:left w:val="single" w:color="000000" w:sz="4" w:space="0"/>
                    <w:bottom w:val="single" w:color="auto" w:sz="12" w:space="0"/>
                    <w:right w:val="single" w:color="000000" w:sz="4" w:space="0"/>
                  </w:tcBorders>
                  <w:shd w:val="clear" w:color="auto" w:fill="auto"/>
                  <w:noWrap/>
                  <w:vAlign w:val="center"/>
                </w:tcPr>
                <w:p w14:paraId="187C1BEF">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p>
              </w:tc>
              <w:tc>
                <w:tcPr>
                  <w:tcW w:w="2100" w:type="dxa"/>
                  <w:tcBorders>
                    <w:top w:val="single" w:color="000000" w:sz="4" w:space="0"/>
                    <w:left w:val="single" w:color="000000" w:sz="4" w:space="0"/>
                    <w:bottom w:val="single" w:color="auto" w:sz="12" w:space="0"/>
                    <w:right w:val="single" w:color="000000" w:sz="4" w:space="0"/>
                  </w:tcBorders>
                  <w:shd w:val="clear" w:color="auto" w:fill="auto"/>
                  <w:noWrap/>
                  <w:vAlign w:val="center"/>
                </w:tcPr>
                <w:p w14:paraId="10ED7CE0">
                  <w:pPr>
                    <w:widowControl/>
                    <w:jc w:val="center"/>
                    <w:textAlignment w:val="center"/>
                    <w:rPr>
                      <w:rFonts w:hint="default"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727.35</w:t>
                  </w:r>
                </w:p>
              </w:tc>
              <w:tc>
                <w:tcPr>
                  <w:tcW w:w="1968" w:type="dxa"/>
                  <w:tcBorders>
                    <w:top w:val="single" w:color="000000" w:sz="4" w:space="0"/>
                    <w:left w:val="single" w:color="000000" w:sz="4" w:space="0"/>
                    <w:bottom w:val="single" w:color="auto" w:sz="12" w:space="0"/>
                    <w:right w:val="single" w:color="auto" w:sz="12" w:space="0"/>
                  </w:tcBorders>
                  <w:shd w:val="clear" w:color="auto" w:fill="auto"/>
                  <w:noWrap/>
                  <w:vAlign w:val="center"/>
                </w:tcPr>
                <w:p w14:paraId="6E6E8D54">
                  <w:pPr>
                    <w:widowControl/>
                    <w:jc w:val="center"/>
                    <w:textAlignment w:val="center"/>
                    <w:rPr>
                      <w:rFonts w:hint="eastAsia" w:eastAsia="宋体"/>
                      <w:b w:val="0"/>
                      <w:bCs w:val="0"/>
                      <w:color w:val="000000" w:themeColor="text1"/>
                      <w:kern w:val="0"/>
                      <w:sz w:val="24"/>
                      <w:szCs w:val="24"/>
                      <w:lang w:val="en-US" w:eastAsia="zh-CN"/>
                      <w14:textFill>
                        <w14:solidFill>
                          <w14:schemeClr w14:val="tx1"/>
                        </w14:solidFill>
                      </w14:textFill>
                    </w:rPr>
                  </w:pPr>
                  <w:r>
                    <w:rPr>
                      <w:rFonts w:hint="eastAsia" w:eastAsia="宋体"/>
                      <w:b w:val="0"/>
                      <w:bCs w:val="0"/>
                      <w:color w:val="000000" w:themeColor="text1"/>
                      <w:kern w:val="0"/>
                      <w:sz w:val="24"/>
                      <w:szCs w:val="24"/>
                      <w:lang w:val="en-US" w:eastAsia="zh-CN"/>
                      <w14:textFill>
                        <w14:solidFill>
                          <w14:schemeClr w14:val="tx1"/>
                        </w14:solidFill>
                      </w14:textFill>
                    </w:rPr>
                    <w:t>100.00%</w:t>
                  </w:r>
                </w:p>
              </w:tc>
            </w:tr>
          </w:tbl>
          <w:p w14:paraId="776DD01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pPr>
          </w:p>
          <w:p w14:paraId="3B35E7F2">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t>呼玛县红色边疆历史遗留废弃矿山CT2327212016000062001图斑</w:t>
            </w:r>
            <w:r>
              <w:rPr>
                <w:rFonts w:hint="eastAsia" w:asciiTheme="minorEastAsia" w:hAnsiTheme="minorEastAsia" w:eastAsiaTheme="minorEastAsia" w:cstheme="minorEastAsia"/>
                <w:b w:val="0"/>
                <w:bCs w:val="0"/>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t>呼玛县东大沟金矿历史遗留废弃矿山</w:t>
            </w:r>
            <w:r>
              <w:rPr>
                <w:rFonts w:hint="eastAsia" w:asciiTheme="minorEastAsia" w:hAnsiTheme="minorEastAsia" w:eastAsiaTheme="minorEastAsia" w:cstheme="minorEastAsia"/>
                <w:b w:val="0"/>
                <w:bCs w:val="0"/>
                <w:sz w:val="28"/>
                <w:szCs w:val="28"/>
              </w:rPr>
              <w:t>CT2327212016000052001</w:t>
            </w:r>
            <w:r>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t>图斑</w:t>
            </w:r>
            <w:r>
              <w:rPr>
                <w:rFonts w:hint="eastAsia" w:asciiTheme="minorEastAsia" w:hAnsiTheme="minorEastAsia" w:eastAsiaTheme="minorEastAsia" w:cstheme="minorEastAsia"/>
                <w:b w:val="0"/>
                <w:bCs w:val="0"/>
                <w:sz w:val="28"/>
                <w:szCs w:val="28"/>
              </w:rPr>
              <w:t>申请验收的969.79公顷范围内，矿业活动造成的矿山生态环境问题及生态胁迫因子基本消除，不具备发生危及人民生命财产安全事件的条件，不存在新的矿山地质环境问题；矿山占用与损毁的土地及植被得到了良好的恢复，土地利用功能和生态环境状况得到明显的改善。自然恢复区岩土裸露区域面积占自然恢复区域面积之比</w:t>
            </w:r>
            <w:r>
              <w:rPr>
                <w:rFonts w:hint="eastAsia" w:asciiTheme="minorEastAsia" w:hAnsiTheme="minorEastAsia" w:eastAsiaTheme="minorEastAsia" w:cstheme="minorEastAsia"/>
                <w:b w:val="0"/>
                <w:bCs w:val="0"/>
                <w:sz w:val="28"/>
                <w:szCs w:val="28"/>
                <w:lang w:val="en-US" w:eastAsia="zh-CN"/>
              </w:rPr>
              <w:t>分别为24.08%、13.25%，</w:t>
            </w:r>
            <w:r>
              <w:rPr>
                <w:rFonts w:hint="eastAsia" w:asciiTheme="minorEastAsia" w:hAnsiTheme="minorEastAsia" w:eastAsiaTheme="minorEastAsia" w:cstheme="minorEastAsia"/>
                <w:b w:val="0"/>
                <w:bCs w:val="0"/>
                <w:sz w:val="28"/>
                <w:szCs w:val="28"/>
              </w:rPr>
              <w:t>符合验收办法要求；植被长势良好，草木覆盖率</w:t>
            </w:r>
            <w:r>
              <w:rPr>
                <w:rFonts w:hint="eastAsia" w:asciiTheme="minorEastAsia" w:hAnsiTheme="minorEastAsia" w:eastAsiaTheme="minorEastAsia" w:cstheme="minorEastAsia"/>
                <w:b w:val="0"/>
                <w:bCs w:val="0"/>
                <w:sz w:val="28"/>
                <w:szCs w:val="28"/>
                <w:lang w:val="en-US" w:eastAsia="zh-CN"/>
              </w:rPr>
              <w:t>分别为75.92%、86.75%，</w:t>
            </w:r>
            <w:r>
              <w:rPr>
                <w:rFonts w:hint="eastAsia" w:asciiTheme="minorEastAsia" w:hAnsiTheme="minorEastAsia" w:eastAsiaTheme="minorEastAsia" w:cstheme="minorEastAsia"/>
                <w:b w:val="0"/>
                <w:bCs w:val="0"/>
                <w:sz w:val="28"/>
                <w:szCs w:val="28"/>
              </w:rPr>
              <w:t>亦符合验收办法要求。自然恢复区与周边自然环境、景观环境基本协调，植被增长高度、成活率、覆盖率等指标整体呈正增长趋势。矿山土地及植被基本得到恢复并达到可供利用的状态，自然状态下生态环境持续稳定向好。</w:t>
            </w:r>
          </w:p>
          <w:p w14:paraId="56A68EAF">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呼玛县红色边疆历史遗留废弃矿山CT2327212016000062001图斑</w:t>
            </w:r>
            <w:r>
              <w:rPr>
                <w:rFonts w:hint="eastAsia" w:asciiTheme="minorEastAsia" w:hAnsiTheme="minorEastAsia" w:eastAsiaTheme="minorEastAsia" w:cstheme="minorEastAsia"/>
                <w:b w:val="0"/>
                <w:bCs w:val="0"/>
                <w:sz w:val="28"/>
                <w:szCs w:val="28"/>
                <w:lang w:eastAsia="zh-CN"/>
              </w:rPr>
              <w:t>、</w:t>
            </w:r>
            <w:r>
              <w:rPr>
                <w:rFonts w:hint="eastAsia" w:asciiTheme="minorEastAsia" w:hAnsiTheme="minorEastAsia" w:eastAsiaTheme="minorEastAsia" w:cstheme="minorEastAsia"/>
                <w:b w:val="0"/>
                <w:bCs w:val="0"/>
                <w:sz w:val="28"/>
                <w:szCs w:val="28"/>
              </w:rPr>
              <w:t>呼玛县东大沟金矿历史遗留废弃矿山CT2327212016000052001图斑申请验收的969.79公顷范围内，生态修复成果</w:t>
            </w:r>
            <w:r>
              <w:rPr>
                <w:rFonts w:hint="eastAsia" w:asciiTheme="minorEastAsia" w:hAnsiTheme="minorEastAsia" w:eastAsiaTheme="minorEastAsia" w:cstheme="minorEastAsia"/>
                <w:b w:val="0"/>
                <w:bCs w:val="0"/>
                <w:sz w:val="28"/>
                <w:szCs w:val="28"/>
                <w:lang w:val="en-US" w:eastAsia="zh-CN"/>
              </w:rPr>
              <w:t>符合验收标准</w:t>
            </w:r>
            <w:r>
              <w:rPr>
                <w:rFonts w:hint="eastAsia" w:asciiTheme="minorEastAsia" w:hAnsiTheme="minorEastAsia" w:eastAsiaTheme="minorEastAsia" w:cstheme="minorEastAsia"/>
                <w:b w:val="0"/>
                <w:bCs w:val="0"/>
                <w:sz w:val="28"/>
                <w:szCs w:val="28"/>
              </w:rPr>
              <w:t>要求。</w:t>
            </w:r>
          </w:p>
        </w:tc>
      </w:tr>
      <w:tr w14:paraId="455FB0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15" w:type="dxa"/>
            <w:left w:w="15" w:type="dxa"/>
            <w:bottom w:w="15" w:type="dxa"/>
            <w:right w:w="15" w:type="dxa"/>
          </w:tblCellMar>
        </w:tblPrEx>
        <w:trPr>
          <w:trHeight w:val="1018" w:hRule="atLeast"/>
          <w:jc w:val="center"/>
        </w:trPr>
        <w:tc>
          <w:tcPr>
            <w:tcW w:w="8816" w:type="dxa"/>
            <w:tcBorders>
              <w:tl2br w:val="nil"/>
              <w:tr2bl w:val="nil"/>
            </w:tcBorders>
            <w:shd w:val="clear" w:color="auto" w:fill="FFFFFF"/>
            <w:tcMar>
              <w:top w:w="12" w:type="dxa"/>
              <w:left w:w="12" w:type="dxa"/>
              <w:bottom w:w="0" w:type="dxa"/>
              <w:right w:w="12" w:type="dxa"/>
            </w:tcMar>
          </w:tcPr>
          <w:p w14:paraId="147C7AF2">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五、后续管护责任主体和措施落实情况</w:t>
            </w:r>
          </w:p>
          <w:p w14:paraId="06855D79">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后续管护责任主体和措施，未落实。</w:t>
            </w:r>
          </w:p>
        </w:tc>
      </w:tr>
      <w:tr w14:paraId="59AC78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15" w:type="dxa"/>
            <w:left w:w="15" w:type="dxa"/>
            <w:bottom w:w="15" w:type="dxa"/>
            <w:right w:w="15" w:type="dxa"/>
          </w:tblCellMar>
        </w:tblPrEx>
        <w:trPr>
          <w:trHeight w:val="538" w:hRule="atLeast"/>
          <w:jc w:val="center"/>
        </w:trPr>
        <w:tc>
          <w:tcPr>
            <w:tcW w:w="8816" w:type="dxa"/>
            <w:tcBorders>
              <w:tl2br w:val="nil"/>
              <w:tr2bl w:val="nil"/>
            </w:tcBorders>
            <w:shd w:val="clear" w:color="auto" w:fill="FFFFFF"/>
            <w:tcMar>
              <w:top w:w="12" w:type="dxa"/>
              <w:left w:w="12" w:type="dxa"/>
              <w:bottom w:w="0" w:type="dxa"/>
              <w:right w:w="12" w:type="dxa"/>
            </w:tcMar>
          </w:tcPr>
          <w:p w14:paraId="02FCDB17">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六、要求整改内容和建议</w:t>
            </w:r>
          </w:p>
          <w:p w14:paraId="396DC0E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1、进行定期巡查，发现并消除影响矿山自然修复的其他不利因素。</w:t>
            </w:r>
          </w:p>
          <w:p w14:paraId="428DEC3B">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sz w:val="28"/>
                <w:szCs w:val="28"/>
              </w:rPr>
              <w:t>2、</w:t>
            </w:r>
            <w:r>
              <w:rPr>
                <w:rFonts w:ascii="Times New Roman" w:hAnsi="Times New Roman"/>
                <w:sz w:val="28"/>
                <w:szCs w:val="28"/>
              </w:rPr>
              <w:t>落实后续管护责任主体和措施，以保证转型利用土地得到良好管护，</w:t>
            </w:r>
            <w:bookmarkStart w:id="2" w:name="_GoBack"/>
            <w:bookmarkEnd w:id="2"/>
            <w:r>
              <w:rPr>
                <w:rFonts w:ascii="Times New Roman" w:hAnsi="Times New Roman"/>
                <w:sz w:val="28"/>
                <w:szCs w:val="28"/>
              </w:rPr>
              <w:t>以及自然修复区植被增长高度、成活率、覆盖率等指标整体呈正增长趋势</w:t>
            </w:r>
            <w:r>
              <w:rPr>
                <w:rFonts w:hint="eastAsia" w:asciiTheme="minorEastAsia" w:hAnsiTheme="minorEastAsia" w:eastAsiaTheme="minorEastAsia" w:cstheme="minorEastAsia"/>
                <w:b w:val="0"/>
                <w:bCs w:val="0"/>
                <w:sz w:val="28"/>
                <w:szCs w:val="28"/>
              </w:rPr>
              <w:t>。</w:t>
            </w:r>
          </w:p>
        </w:tc>
      </w:tr>
      <w:tr w14:paraId="79BBBA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9169" w:hRule="atLeast"/>
          <w:jc w:val="center"/>
        </w:trPr>
        <w:tc>
          <w:tcPr>
            <w:tcW w:w="8816" w:type="dxa"/>
            <w:tcBorders>
              <w:tl2br w:val="nil"/>
              <w:tr2bl w:val="nil"/>
            </w:tcBorders>
            <w:shd w:val="clear" w:color="auto" w:fill="FFFFFF"/>
            <w:tcMar>
              <w:top w:w="12" w:type="dxa"/>
              <w:left w:w="12" w:type="dxa"/>
              <w:bottom w:w="0" w:type="dxa"/>
              <w:right w:w="12" w:type="dxa"/>
            </w:tcMar>
          </w:tcPr>
          <w:p w14:paraId="489814B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七、验收结论</w:t>
            </w:r>
          </w:p>
          <w:p w14:paraId="14DC8803">
            <w:pPr>
              <w:adjustRightInd w:val="0"/>
              <w:snapToGrid w:val="0"/>
              <w:spacing w:line="360" w:lineRule="auto"/>
              <w:ind w:firstLine="560" w:firstLineChars="200"/>
              <w:rPr>
                <w:rFonts w:ascii="Times New Roman" w:hAnsi="Times New Roman"/>
                <w:sz w:val="28"/>
                <w:szCs w:val="28"/>
              </w:rPr>
            </w:pPr>
            <w:r>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t>呼玛县红色边疆历史遗留废弃矿山CT2327212016000062001图斑</w:t>
            </w:r>
            <w:r>
              <w:rPr>
                <w:rFonts w:hint="eastAsia" w:asciiTheme="minorEastAsia" w:hAnsiTheme="minorEastAsia" w:eastAsiaTheme="minorEastAsia" w:cstheme="minorEastAsia"/>
                <w:b w:val="0"/>
                <w:bCs w:val="0"/>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t>呼玛县东大沟金矿历史遗留废弃矿山</w:t>
            </w:r>
            <w:r>
              <w:rPr>
                <w:rFonts w:hint="eastAsia" w:asciiTheme="minorEastAsia" w:hAnsiTheme="minorEastAsia" w:eastAsiaTheme="minorEastAsia" w:cstheme="minorEastAsia"/>
                <w:b w:val="0"/>
                <w:bCs w:val="0"/>
                <w:sz w:val="28"/>
                <w:szCs w:val="28"/>
              </w:rPr>
              <w:t>CT2327212016000052001</w:t>
            </w:r>
            <w:r>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t>图斑</w:t>
            </w:r>
            <w:r>
              <w:rPr>
                <w:rFonts w:hint="eastAsia" w:asciiTheme="minorEastAsia" w:hAnsiTheme="minorEastAsia" w:eastAsiaTheme="minorEastAsia" w:cstheme="minorEastAsia"/>
                <w:b w:val="0"/>
                <w:bCs w:val="0"/>
                <w:sz w:val="28"/>
                <w:szCs w:val="28"/>
              </w:rPr>
              <w:t>申请验收的969.79公顷范围</w:t>
            </w:r>
            <w:r>
              <w:rPr>
                <w:rFonts w:hint="eastAsia" w:asciiTheme="minorEastAsia" w:hAnsiTheme="minorEastAsia" w:eastAsiaTheme="minorEastAsia" w:cstheme="minorEastAsia"/>
                <w:b w:val="0"/>
                <w:bCs w:val="0"/>
                <w:sz w:val="28"/>
                <w:szCs w:val="28"/>
                <w:lang w:eastAsia="zh-CN"/>
              </w:rPr>
              <w:t>，</w:t>
            </w:r>
            <w:r>
              <w:rPr>
                <w:rFonts w:ascii="Times New Roman" w:hAnsi="Times New Roman"/>
                <w:color w:val="auto"/>
                <w:sz w:val="28"/>
                <w:szCs w:val="28"/>
              </w:rPr>
              <w:t>通过自</w:t>
            </w:r>
            <w:r>
              <w:rPr>
                <w:rFonts w:ascii="Times New Roman" w:hAnsi="Times New Roman"/>
                <w:sz w:val="28"/>
                <w:szCs w:val="28"/>
              </w:rPr>
              <w:t>然恢复</w:t>
            </w:r>
            <w:r>
              <w:rPr>
                <w:rFonts w:hint="eastAsia" w:ascii="Times New Roman" w:hAnsi="Times New Roman"/>
                <w:sz w:val="28"/>
                <w:szCs w:val="28"/>
                <w:lang w:val="en-US" w:eastAsia="zh-CN"/>
              </w:rPr>
              <w:t>和</w:t>
            </w:r>
            <w:r>
              <w:rPr>
                <w:rFonts w:ascii="Times New Roman" w:hAnsi="Times New Roman"/>
                <w:color w:val="auto"/>
                <w:sz w:val="28"/>
                <w:szCs w:val="28"/>
              </w:rPr>
              <w:t>“转型利用”</w:t>
            </w:r>
            <w:r>
              <w:rPr>
                <w:rFonts w:ascii="Times New Roman" w:hAnsi="Times New Roman"/>
                <w:sz w:val="28"/>
                <w:szCs w:val="28"/>
              </w:rPr>
              <w:t>方式完成了矿山生态修复，损毁的土地得到了良好的生态修复与转型利用，生态环境得到了明显的改善，达到了可供利用的状态，目前利用效果较好。自然恢复效果自评报告，评价内容合理，符合实际。矿山生态修复成效明显、验收资料真实完整、实施过程科学规范。</w:t>
            </w:r>
          </w:p>
          <w:p w14:paraId="0D5F127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lang w:val="en-US" w:eastAsia="zh-CN"/>
              </w:rPr>
              <w:t>验收组</w:t>
            </w:r>
            <w:r>
              <w:rPr>
                <w:rFonts w:hint="eastAsia" w:asciiTheme="minorEastAsia" w:hAnsiTheme="minorEastAsia" w:eastAsiaTheme="minorEastAsia" w:cstheme="minorEastAsia"/>
                <w:b w:val="0"/>
                <w:bCs w:val="0"/>
                <w:sz w:val="28"/>
                <w:szCs w:val="28"/>
              </w:rPr>
              <w:t>综合评判</w:t>
            </w:r>
            <w:r>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t>呼玛县红色边疆历史遗留废弃矿山CT2327212016000062001图斑</w:t>
            </w:r>
            <w:r>
              <w:rPr>
                <w:rFonts w:hint="eastAsia" w:asciiTheme="minorEastAsia" w:hAnsiTheme="minorEastAsia" w:eastAsiaTheme="minorEastAsia" w:cstheme="minorEastAsia"/>
                <w:b w:val="0"/>
                <w:bCs w:val="0"/>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t>呼玛县东大沟金矿历史遗留废弃矿山</w:t>
            </w:r>
            <w:r>
              <w:rPr>
                <w:rFonts w:hint="eastAsia" w:asciiTheme="minorEastAsia" w:hAnsiTheme="minorEastAsia" w:eastAsiaTheme="minorEastAsia" w:cstheme="minorEastAsia"/>
                <w:b w:val="0"/>
                <w:bCs w:val="0"/>
                <w:sz w:val="28"/>
                <w:szCs w:val="28"/>
              </w:rPr>
              <w:t>CT2327212016000052001</w:t>
            </w:r>
            <w:r>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t>图斑</w:t>
            </w:r>
            <w:r>
              <w:rPr>
                <w:rFonts w:hint="eastAsia" w:asciiTheme="minorEastAsia" w:hAnsiTheme="minorEastAsia" w:eastAsiaTheme="minorEastAsia" w:cstheme="minorEastAsia"/>
                <w:b w:val="0"/>
                <w:bCs w:val="0"/>
                <w:sz w:val="28"/>
                <w:szCs w:val="28"/>
              </w:rPr>
              <w:t>自然恢复成果，认定为合格，验收通过。</w:t>
            </w:r>
          </w:p>
          <w:p w14:paraId="13530C63">
            <w:pPr>
              <w:pStyle w:val="14"/>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Theme="minorEastAsia" w:hAnsiTheme="minorEastAsia" w:eastAsiaTheme="minorEastAsia" w:cstheme="minorEastAsia"/>
                <w:b w:val="0"/>
                <w:bCs w:val="0"/>
                <w:sz w:val="28"/>
                <w:szCs w:val="28"/>
              </w:rPr>
            </w:pPr>
          </w:p>
          <w:p w14:paraId="0E46AD4C">
            <w:pPr>
              <w:pStyle w:val="14"/>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Theme="minorEastAsia" w:hAnsiTheme="minorEastAsia" w:eastAsiaTheme="minorEastAsia" w:cstheme="minorEastAsia"/>
                <w:b w:val="0"/>
                <w:bCs w:val="0"/>
                <w:sz w:val="28"/>
                <w:szCs w:val="28"/>
              </w:rPr>
            </w:pPr>
          </w:p>
          <w:p w14:paraId="5043B5FA">
            <w:pPr>
              <w:pStyle w:val="14"/>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Theme="minorEastAsia" w:hAnsiTheme="minorEastAsia" w:eastAsiaTheme="minorEastAsia" w:cstheme="minorEastAsia"/>
                <w:b w:val="0"/>
                <w:bCs w:val="0"/>
                <w:sz w:val="28"/>
                <w:szCs w:val="28"/>
              </w:rPr>
            </w:pPr>
          </w:p>
          <w:p w14:paraId="740EE031">
            <w:pPr>
              <w:keepNext w:val="0"/>
              <w:keepLines w:val="0"/>
              <w:pageBreakBefore w:val="0"/>
              <w:widowControl w:val="0"/>
              <w:kinsoku/>
              <w:wordWrap/>
              <w:overflowPunct/>
              <w:topLinePunct w:val="0"/>
              <w:autoSpaceDE/>
              <w:autoSpaceDN/>
              <w:bidi w:val="0"/>
              <w:adjustRightInd w:val="0"/>
              <w:snapToGrid w:val="0"/>
              <w:spacing w:line="360" w:lineRule="auto"/>
              <w:ind w:firstLine="5040" w:firstLineChars="1800"/>
              <w:textAlignment w:val="auto"/>
              <w:rPr>
                <w:rFonts w:hint="eastAsia" w:asciiTheme="minorEastAsia" w:hAnsiTheme="minorEastAsia" w:eastAsiaTheme="minorEastAsia" w:cstheme="minorEastAsia"/>
                <w:b w:val="0"/>
                <w:bCs w:val="0"/>
                <w:color w:val="C00000"/>
                <w:sz w:val="28"/>
                <w:szCs w:val="28"/>
              </w:rPr>
            </w:pPr>
            <w:r>
              <w:rPr>
                <w:rFonts w:hint="eastAsia" w:asciiTheme="minorEastAsia" w:hAnsiTheme="minorEastAsia" w:eastAsiaTheme="minorEastAsia" w:cstheme="minorEastAsia"/>
                <w:b w:val="0"/>
                <w:bCs w:val="0"/>
                <w:sz w:val="28"/>
                <w:szCs w:val="28"/>
              </w:rPr>
              <w:t>2024年9月23日</w:t>
            </w:r>
          </w:p>
        </w:tc>
      </w:tr>
    </w:tbl>
    <w:p w14:paraId="0A71B099">
      <w:pPr>
        <w:pStyle w:val="13"/>
        <w:ind w:firstLine="0"/>
        <w:rPr>
          <w:rFonts w:ascii="Times New Roman" w:hAnsi="Times New Roman"/>
        </w:rPr>
      </w:pPr>
    </w:p>
    <w:p w14:paraId="5FBE47EB">
      <w:pPr>
        <w:pStyle w:val="13"/>
        <w:ind w:firstLine="0"/>
        <w:rPr>
          <w:rFonts w:ascii="Times New Roman" w:hAnsi="Times New Roman"/>
        </w:rPr>
      </w:pPr>
    </w:p>
    <w:sectPr>
      <w:footerReference r:id="rId3" w:type="default"/>
      <w:pgSz w:w="11906" w:h="16838"/>
      <w:pgMar w:top="1440" w:right="1803" w:bottom="1440" w:left="1803"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27B7E7">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84AB04">
                          <w:pPr>
                            <w:pStyle w:val="5"/>
                          </w:pP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aEKcWsEBAACNAwAADgAAAAAAAAABACAAAAAeAQAAZHJzL2Uyb0RvYy54bWxQSwUG&#10;AAAAAAYABgBZAQAAUQUAAAAA&#10;">
              <v:fill on="f" focussize="0,0"/>
              <v:stroke on="f"/>
              <v:imagedata o:title=""/>
              <o:lock v:ext="edit" aspectratio="f"/>
              <v:textbox inset="0mm,0mm,0mm,0mm" style="mso-fit-shape-to-text:t;">
                <w:txbxContent>
                  <w:p w14:paraId="7984AB04">
                    <w:pPr>
                      <w:pStyle w:val="5"/>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9"/>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RiOTUwZWNmNWUyNWI3YjMzMzkyM2I2ZThhOWNhMTkifQ=="/>
  </w:docVars>
  <w:rsids>
    <w:rsidRoot w:val="00172A27"/>
    <w:rsid w:val="00172A27"/>
    <w:rsid w:val="00243D84"/>
    <w:rsid w:val="00265579"/>
    <w:rsid w:val="00315042"/>
    <w:rsid w:val="005C6C4E"/>
    <w:rsid w:val="00612B9B"/>
    <w:rsid w:val="006F074D"/>
    <w:rsid w:val="007255C1"/>
    <w:rsid w:val="00790DE2"/>
    <w:rsid w:val="007A227E"/>
    <w:rsid w:val="008E34E4"/>
    <w:rsid w:val="009D0A35"/>
    <w:rsid w:val="00A91F38"/>
    <w:rsid w:val="00B032FD"/>
    <w:rsid w:val="00B91BC9"/>
    <w:rsid w:val="00D652C9"/>
    <w:rsid w:val="01344706"/>
    <w:rsid w:val="01C731E3"/>
    <w:rsid w:val="03037C3F"/>
    <w:rsid w:val="041E6C5B"/>
    <w:rsid w:val="06406019"/>
    <w:rsid w:val="069A0E8B"/>
    <w:rsid w:val="09F204B1"/>
    <w:rsid w:val="0B532AE5"/>
    <w:rsid w:val="0B6B080E"/>
    <w:rsid w:val="0DF30934"/>
    <w:rsid w:val="0ED1008E"/>
    <w:rsid w:val="0FF404CF"/>
    <w:rsid w:val="10B61887"/>
    <w:rsid w:val="11CC6E78"/>
    <w:rsid w:val="125640B9"/>
    <w:rsid w:val="12CA1FCB"/>
    <w:rsid w:val="137300A2"/>
    <w:rsid w:val="142C30C9"/>
    <w:rsid w:val="1A612F68"/>
    <w:rsid w:val="1B1F82C4"/>
    <w:rsid w:val="1C777080"/>
    <w:rsid w:val="1CFD92E6"/>
    <w:rsid w:val="1E7A74F5"/>
    <w:rsid w:val="1F27318D"/>
    <w:rsid w:val="20F56DB4"/>
    <w:rsid w:val="21120619"/>
    <w:rsid w:val="22504320"/>
    <w:rsid w:val="25187744"/>
    <w:rsid w:val="254A6193"/>
    <w:rsid w:val="26307BB3"/>
    <w:rsid w:val="271061CB"/>
    <w:rsid w:val="28FF6563"/>
    <w:rsid w:val="29815CE6"/>
    <w:rsid w:val="29AB22CB"/>
    <w:rsid w:val="29BD9680"/>
    <w:rsid w:val="2A2E2FA6"/>
    <w:rsid w:val="2A2E3188"/>
    <w:rsid w:val="2A3E36D2"/>
    <w:rsid w:val="2B1D36B4"/>
    <w:rsid w:val="2B6708CF"/>
    <w:rsid w:val="2C7C109E"/>
    <w:rsid w:val="2DEE5864"/>
    <w:rsid w:val="2E1E3AD7"/>
    <w:rsid w:val="2E953B7B"/>
    <w:rsid w:val="320B54DE"/>
    <w:rsid w:val="32F339FC"/>
    <w:rsid w:val="34791977"/>
    <w:rsid w:val="35E01A6F"/>
    <w:rsid w:val="37FFE6D6"/>
    <w:rsid w:val="39FA7CA4"/>
    <w:rsid w:val="3B3FA1C3"/>
    <w:rsid w:val="3B6E8A55"/>
    <w:rsid w:val="3B9B48E6"/>
    <w:rsid w:val="3CEFC600"/>
    <w:rsid w:val="3E276293"/>
    <w:rsid w:val="3E6F46EB"/>
    <w:rsid w:val="3ED929CE"/>
    <w:rsid w:val="3FBFBF5B"/>
    <w:rsid w:val="407C7054"/>
    <w:rsid w:val="41812653"/>
    <w:rsid w:val="43813A25"/>
    <w:rsid w:val="4389421A"/>
    <w:rsid w:val="47BA115C"/>
    <w:rsid w:val="48455675"/>
    <w:rsid w:val="4890058F"/>
    <w:rsid w:val="491964D9"/>
    <w:rsid w:val="4A691F0A"/>
    <w:rsid w:val="4C7E4FEC"/>
    <w:rsid w:val="4CA06CB9"/>
    <w:rsid w:val="4E663992"/>
    <w:rsid w:val="4E8F2977"/>
    <w:rsid w:val="4F9F6660"/>
    <w:rsid w:val="4FFBBD7F"/>
    <w:rsid w:val="501452D5"/>
    <w:rsid w:val="515E5167"/>
    <w:rsid w:val="529C49EA"/>
    <w:rsid w:val="535864B7"/>
    <w:rsid w:val="53AA1EF8"/>
    <w:rsid w:val="53DC5129"/>
    <w:rsid w:val="54CB0514"/>
    <w:rsid w:val="55BB4435"/>
    <w:rsid w:val="55FF36F2"/>
    <w:rsid w:val="561D50CF"/>
    <w:rsid w:val="563947E5"/>
    <w:rsid w:val="56625644"/>
    <w:rsid w:val="56F75E6D"/>
    <w:rsid w:val="59D9E2C2"/>
    <w:rsid w:val="5AB65B98"/>
    <w:rsid w:val="5AD15F5B"/>
    <w:rsid w:val="5B3F01EC"/>
    <w:rsid w:val="5B8F5AD3"/>
    <w:rsid w:val="5BEA76D8"/>
    <w:rsid w:val="5BEDCDF8"/>
    <w:rsid w:val="5D14252A"/>
    <w:rsid w:val="5DDA5FC0"/>
    <w:rsid w:val="5ED60BF2"/>
    <w:rsid w:val="5F2BDBAC"/>
    <w:rsid w:val="5F2C2796"/>
    <w:rsid w:val="5F7B7C6F"/>
    <w:rsid w:val="5FDD403A"/>
    <w:rsid w:val="5FF8BC97"/>
    <w:rsid w:val="61761FA3"/>
    <w:rsid w:val="63BD6F09"/>
    <w:rsid w:val="63FDA48A"/>
    <w:rsid w:val="64124018"/>
    <w:rsid w:val="66186126"/>
    <w:rsid w:val="6647401C"/>
    <w:rsid w:val="66F9A048"/>
    <w:rsid w:val="67A25A81"/>
    <w:rsid w:val="67D7D5C0"/>
    <w:rsid w:val="67F3B785"/>
    <w:rsid w:val="697B3A6B"/>
    <w:rsid w:val="6A166EF7"/>
    <w:rsid w:val="6A8152A0"/>
    <w:rsid w:val="6AF8461A"/>
    <w:rsid w:val="6B7FD3FF"/>
    <w:rsid w:val="6B9E3563"/>
    <w:rsid w:val="6BDA8C02"/>
    <w:rsid w:val="6C2FBE65"/>
    <w:rsid w:val="6C92264A"/>
    <w:rsid w:val="6CBF46F0"/>
    <w:rsid w:val="6DBBD11A"/>
    <w:rsid w:val="6DE15905"/>
    <w:rsid w:val="6DFDD3F4"/>
    <w:rsid w:val="6EA97E5C"/>
    <w:rsid w:val="6EAF7534"/>
    <w:rsid w:val="6FBC4602"/>
    <w:rsid w:val="6FD43796"/>
    <w:rsid w:val="6FE6F5D0"/>
    <w:rsid w:val="6FFC7394"/>
    <w:rsid w:val="709E873E"/>
    <w:rsid w:val="70D02E31"/>
    <w:rsid w:val="727B7BC3"/>
    <w:rsid w:val="736BF93B"/>
    <w:rsid w:val="737300F7"/>
    <w:rsid w:val="74131BD7"/>
    <w:rsid w:val="744D4505"/>
    <w:rsid w:val="74F44FE0"/>
    <w:rsid w:val="75A44310"/>
    <w:rsid w:val="75EA9EC4"/>
    <w:rsid w:val="75F5C08B"/>
    <w:rsid w:val="77B63E3F"/>
    <w:rsid w:val="77DF2A1B"/>
    <w:rsid w:val="77EFC463"/>
    <w:rsid w:val="77F02658"/>
    <w:rsid w:val="77F7193D"/>
    <w:rsid w:val="77FE3AD7"/>
    <w:rsid w:val="77FF1B1A"/>
    <w:rsid w:val="77FFC4AD"/>
    <w:rsid w:val="789460E0"/>
    <w:rsid w:val="78B875B2"/>
    <w:rsid w:val="78FA0122"/>
    <w:rsid w:val="79EB4E56"/>
    <w:rsid w:val="7B0A3AED"/>
    <w:rsid w:val="7BDEFAF2"/>
    <w:rsid w:val="7BF70971"/>
    <w:rsid w:val="7BF7669A"/>
    <w:rsid w:val="7CF40CC0"/>
    <w:rsid w:val="7DBD0ABA"/>
    <w:rsid w:val="7DF062FA"/>
    <w:rsid w:val="7DFCAA62"/>
    <w:rsid w:val="7E77F30B"/>
    <w:rsid w:val="7EC743AD"/>
    <w:rsid w:val="7EEF9797"/>
    <w:rsid w:val="7F4513DA"/>
    <w:rsid w:val="7F679954"/>
    <w:rsid w:val="7F8FDB86"/>
    <w:rsid w:val="7FBF2C25"/>
    <w:rsid w:val="7FDD5813"/>
    <w:rsid w:val="7FDF0C27"/>
    <w:rsid w:val="7FEF3ADC"/>
    <w:rsid w:val="7FEF5A5F"/>
    <w:rsid w:val="7FEF6DF5"/>
    <w:rsid w:val="7FFF860E"/>
    <w:rsid w:val="87FF91C2"/>
    <w:rsid w:val="95EFCAED"/>
    <w:rsid w:val="9DB3D87B"/>
    <w:rsid w:val="9FB712CA"/>
    <w:rsid w:val="9FBACDAB"/>
    <w:rsid w:val="A3FA5CF5"/>
    <w:rsid w:val="ABDF41F0"/>
    <w:rsid w:val="ADFE911D"/>
    <w:rsid w:val="AE392AA8"/>
    <w:rsid w:val="AED7C866"/>
    <w:rsid w:val="AFBA2007"/>
    <w:rsid w:val="B2BD8D0C"/>
    <w:rsid w:val="B4A511A6"/>
    <w:rsid w:val="B53BE801"/>
    <w:rsid w:val="B5FFE29D"/>
    <w:rsid w:val="B7EFE30E"/>
    <w:rsid w:val="B9C6095B"/>
    <w:rsid w:val="BA7B23C6"/>
    <w:rsid w:val="BBEE0CE5"/>
    <w:rsid w:val="BBEEE755"/>
    <w:rsid w:val="BD77B8C1"/>
    <w:rsid w:val="BDFB0E51"/>
    <w:rsid w:val="BEC5AB10"/>
    <w:rsid w:val="BFDF003D"/>
    <w:rsid w:val="BFDFAA83"/>
    <w:rsid w:val="BFFB2D01"/>
    <w:rsid w:val="BFFCB714"/>
    <w:rsid w:val="C5F771C5"/>
    <w:rsid w:val="C9FB471B"/>
    <w:rsid w:val="CAE5EAC3"/>
    <w:rsid w:val="D1F78362"/>
    <w:rsid w:val="D52F78B1"/>
    <w:rsid w:val="D73FF1BC"/>
    <w:rsid w:val="D7DB45DC"/>
    <w:rsid w:val="DD37F195"/>
    <w:rsid w:val="DEDB8972"/>
    <w:rsid w:val="DEDCC300"/>
    <w:rsid w:val="DF9FC5E0"/>
    <w:rsid w:val="DFED3BD9"/>
    <w:rsid w:val="DFFF0282"/>
    <w:rsid w:val="E5FC6D19"/>
    <w:rsid w:val="E7FBCC60"/>
    <w:rsid w:val="EBF7DCD8"/>
    <w:rsid w:val="ED1F9C89"/>
    <w:rsid w:val="EDAF998C"/>
    <w:rsid w:val="EFDF2069"/>
    <w:rsid w:val="F6F647B0"/>
    <w:rsid w:val="F74E681F"/>
    <w:rsid w:val="F77FAFD7"/>
    <w:rsid w:val="F7DDA909"/>
    <w:rsid w:val="F7F64C65"/>
    <w:rsid w:val="F7FDF6B8"/>
    <w:rsid w:val="F7FF12D7"/>
    <w:rsid w:val="F8EF9398"/>
    <w:rsid w:val="FC2B4EF3"/>
    <w:rsid w:val="FC9FFB10"/>
    <w:rsid w:val="FDEE25E4"/>
    <w:rsid w:val="FDF704DC"/>
    <w:rsid w:val="FDFB055C"/>
    <w:rsid w:val="FDFF0838"/>
    <w:rsid w:val="FE2F2DC3"/>
    <w:rsid w:val="FEAF2840"/>
    <w:rsid w:val="FF9E0F0B"/>
    <w:rsid w:val="FFBB10BD"/>
    <w:rsid w:val="FFBBA5CE"/>
    <w:rsid w:val="FFC96A5F"/>
    <w:rsid w:val="FFD8B8A0"/>
    <w:rsid w:val="FFE5CF4C"/>
    <w:rsid w:val="FFEE026D"/>
    <w:rsid w:val="FFFF6CF9"/>
    <w:rsid w:val="FFFF8B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next w:val="1"/>
    <w:uiPriority w:val="0"/>
    <w:pPr>
      <w:spacing w:before="1" w:line="360" w:lineRule="auto"/>
      <w:ind w:left="306" w:right="306" w:firstLine="567"/>
    </w:pPr>
    <w:rPr>
      <w:rFonts w:ascii="仿宋" w:hAnsi="仿宋" w:eastAsia="仿宋_GB2312" w:cs="仿宋"/>
      <w:spacing w:val="-1"/>
      <w:sz w:val="32"/>
      <w:szCs w:val="28"/>
      <w:lang w:val="zh-CN" w:bidi="zh-CN"/>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100" w:beforeAutospacing="1" w:after="100" w:afterAutospacing="1"/>
      <w:jc w:val="left"/>
    </w:pPr>
    <w:rPr>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styleId="12">
    <w:name w:val="page number"/>
    <w:basedOn w:val="10"/>
    <w:qFormat/>
    <w:uiPriority w:val="0"/>
  </w:style>
  <w:style w:type="paragraph" w:customStyle="1" w:styleId="13">
    <w:name w:val="样式 正文001 + 首行缩进:  2 字符1"/>
    <w:basedOn w:val="1"/>
    <w:qFormat/>
    <w:uiPriority w:val="0"/>
    <w:pPr>
      <w:spacing w:before="60" w:line="460" w:lineRule="exact"/>
      <w:ind w:firstLine="480"/>
    </w:pPr>
    <w:rPr>
      <w:rFonts w:hAnsi="宋体"/>
      <w:szCs w:val="22"/>
    </w:rPr>
  </w:style>
  <w:style w:type="paragraph" w:customStyle="1" w:styleId="14">
    <w:name w:val="表格内"/>
    <w:basedOn w:val="1"/>
    <w:qFormat/>
    <w:uiPriority w:val="99"/>
    <w:pPr>
      <w:spacing w:line="360" w:lineRule="exact"/>
      <w:jc w:val="center"/>
    </w:pPr>
    <w:rPr>
      <w:rFonts w:eastAsia="Times New Roman"/>
      <w:szCs w:val="21"/>
    </w:rPr>
  </w:style>
  <w:style w:type="character" w:customStyle="1" w:styleId="15">
    <w:name w:val="font01"/>
    <w:basedOn w:val="10"/>
    <w:uiPriority w:val="0"/>
    <w:rPr>
      <w:rFonts w:hint="eastAsia" w:ascii="宋体" w:hAnsi="宋体" w:eastAsia="宋体" w:cs="宋体"/>
      <w:color w:val="000000"/>
      <w:sz w:val="24"/>
      <w:szCs w:val="24"/>
      <w:u w:val="none"/>
    </w:rPr>
  </w:style>
  <w:style w:type="character" w:customStyle="1" w:styleId="16">
    <w:name w:val="font21"/>
    <w:basedOn w:val="10"/>
    <w:uiPriority w:val="0"/>
    <w:rPr>
      <w:rFonts w:hint="eastAsia" w:ascii="宋体" w:hAnsi="宋体" w:eastAsia="宋体" w:cs="宋体"/>
      <w:color w:val="000000"/>
      <w:sz w:val="24"/>
      <w:szCs w:val="24"/>
      <w:u w:val="none"/>
    </w:rPr>
  </w:style>
  <w:style w:type="character" w:customStyle="1" w:styleId="17">
    <w:name w:val="font11"/>
    <w:basedOn w:val="10"/>
    <w:uiPriority w:val="0"/>
    <w:rPr>
      <w:rFonts w:hint="eastAsia" w:ascii="宋体" w:hAnsi="宋体" w:eastAsia="宋体" w:cs="宋体"/>
      <w:color w:val="000000"/>
      <w:sz w:val="22"/>
      <w:szCs w:val="22"/>
      <w:u w:val="none"/>
    </w:rPr>
  </w:style>
  <w:style w:type="character" w:customStyle="1" w:styleId="18">
    <w:name w:val="font41"/>
    <w:basedOn w:val="10"/>
    <w:uiPriority w:val="0"/>
    <w:rPr>
      <w:rFonts w:hint="eastAsia" w:ascii="宋体" w:hAnsi="宋体" w:eastAsia="宋体" w:cs="宋体"/>
      <w:color w:val="000000"/>
      <w:sz w:val="24"/>
      <w:szCs w:val="24"/>
      <w:u w:val="none"/>
    </w:rPr>
  </w:style>
  <w:style w:type="character" w:customStyle="1" w:styleId="19">
    <w:name w:val="font31"/>
    <w:basedOn w:val="10"/>
    <w:uiPriority w:val="0"/>
    <w:rPr>
      <w:rFonts w:hint="eastAsia" w:ascii="宋体" w:hAnsi="宋体" w:eastAsia="宋体" w:cs="宋体"/>
      <w:color w:val="000000"/>
      <w:sz w:val="22"/>
      <w:szCs w:val="22"/>
      <w:u w:val="none"/>
    </w:rPr>
  </w:style>
  <w:style w:type="paragraph" w:styleId="20">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2936</Words>
  <Characters>4012</Characters>
  <Lines>24</Lines>
  <Paragraphs>6</Paragraphs>
  <TotalTime>4</TotalTime>
  <ScaleCrop>false</ScaleCrop>
  <LinksUpToDate>false</LinksUpToDate>
  <CharactersWithSpaces>4050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2022-09-11T02:12:00Z</dcterms:created>
  <dc:creator>Administrator</dc:creator>
  <cp:lastModifiedBy>帕奇维克</cp:lastModifiedBy>
  <cp:lastPrinted>2023-08-08T09:27:00Z</cp:lastPrinted>
  <dcterms:modified xsi:type="dcterms:W3CDTF">2025-07-11T02:46:49Z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ECFADEFEB48E7539ED6B8A642012E5D4</vt:lpwstr>
  </property>
  <property fmtid="{D5CDD505-2E9C-101B-9397-08002B2CF9AE}" pid="4" name="KSOTemplateDocerSaveRecord">
    <vt:lpwstr>eyJoZGlkIjoiNTFmNWYwOGEzM2U5NGM2N2U5MjdkOGZjZDhlNzZkOGIiLCJ1c2VySWQiOiI4Nzk4MjYxODcifQ==</vt:lpwstr>
  </property>
</Properties>
</file>