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大署函〔2025〕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99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eastAsia="方正小标宋简体" w:cs="方正小标宋简体"/>
          <w:kern w:val="0"/>
          <w:sz w:val="44"/>
          <w:szCs w:val="44"/>
          <w:shd w:val="clear" w:color="auto" w:fill="auto"/>
        </w:rPr>
      </w:pPr>
      <w:r>
        <w:rPr>
          <w:rFonts w:hint="default" w:ascii="方正小标宋简体" w:eastAsia="方正小标宋简体" w:cs="方正小标宋简体"/>
          <w:kern w:val="0"/>
          <w:sz w:val="44"/>
          <w:szCs w:val="44"/>
          <w:shd w:val="clear" w:color="auto" w:fill="auto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shd w:val="clear" w:color="auto" w:fill="auto"/>
        </w:rPr>
        <w:t>关于调整</w:t>
      </w:r>
      <w:r>
        <w:rPr>
          <w:rFonts w:ascii="方正小标宋简体" w:eastAsia="方正小标宋简体" w:cs="方正小标宋简体"/>
          <w:kern w:val="0"/>
          <w:sz w:val="44"/>
          <w:szCs w:val="44"/>
          <w:shd w:val="clear" w:color="auto" w:fill="auto"/>
        </w:rPr>
        <w:t>加格达奇区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shd w:val="clear" w:color="auto" w:fill="auto"/>
        </w:rPr>
        <w:t>供热价格的</w:t>
      </w:r>
      <w:r>
        <w:rPr>
          <w:rFonts w:ascii="方正小标宋简体" w:eastAsia="方正小标宋简体" w:cs="方正小标宋简体"/>
          <w:kern w:val="0"/>
          <w:sz w:val="44"/>
          <w:szCs w:val="44"/>
          <w:shd w:val="clear" w:color="auto" w:fill="auto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 w:cs="方正小标宋简体"/>
          <w:kern w:val="0"/>
          <w:sz w:val="44"/>
          <w:szCs w:val="44"/>
          <w:shd w:val="clear" w:color="auto" w:fill="auto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加格达奇区人民政府：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《关于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加格达奇区供热热费调整的请示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》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（加政呈</w:t>
      </w:r>
      <w:r>
        <w:rPr>
          <w:rFonts w:hint="eastAsia" w:ascii="仿宋_GB2312" w:eastAsia="仿宋_GB2312" w:cs="仿宋_GB2312"/>
          <w:sz w:val="32"/>
          <w:szCs w:val="32"/>
        </w:rPr>
        <w:t>〔202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收悉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为促进供热行业持续健康发展，保证冬季供热质量，根据《中华人民共和国价格法》和相关价格管理政策法规，依法开展了成本监审、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召开座谈会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、风险评估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根据成本监审数据及征求意见结果，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对加格达奇区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供热价格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如下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供热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价格</w:t>
      </w:r>
    </w:p>
    <w:p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hd w:val="clear" w:color="auto" w:fill="auto"/>
        </w:rPr>
      </w:pPr>
      <w:r>
        <w:rPr>
          <w:rFonts w:ascii="仿宋_GB2312" w:hAnsi="仿宋_GB2312" w:eastAsia="仿宋_GB2312" w:cs="仿宋_GB2312"/>
          <w:b w:val="0"/>
          <w:shd w:val="clear" w:color="auto" w:fill="auto"/>
        </w:rPr>
        <w:t>（一）居</w:t>
      </w:r>
      <w:r>
        <w:rPr>
          <w:rFonts w:hint="eastAsia" w:ascii="仿宋_GB2312" w:hAnsi="仿宋_GB2312" w:eastAsia="仿宋_GB2312" w:cs="仿宋_GB2312"/>
          <w:b w:val="0"/>
          <w:shd w:val="clear" w:color="auto" w:fill="auto"/>
        </w:rPr>
        <w:t>民</w:t>
      </w:r>
      <w:r>
        <w:rPr>
          <w:rFonts w:ascii="仿宋_GB2312" w:hAnsi="仿宋_GB2312" w:eastAsia="仿宋_GB2312" w:cs="仿宋_GB2312"/>
          <w:b w:val="0"/>
          <w:shd w:val="clear" w:color="auto" w:fill="auto"/>
        </w:rPr>
        <w:t>用户按照建筑面积减去冷阳台面积计费，供热价格</w:t>
      </w:r>
      <w:r>
        <w:rPr>
          <w:rFonts w:hint="eastAsia" w:ascii="仿宋_GB2312" w:hAnsi="仿宋_GB2312" w:eastAsia="仿宋_GB2312" w:cs="仿宋_GB2312"/>
          <w:b w:val="0"/>
          <w:shd w:val="clear" w:color="auto" w:fill="auto"/>
        </w:rPr>
        <w:t>39元/平方米，保持不变。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（二）非居民用户按照建筑面积计费，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供热价格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65元/平方米调整至72元/平方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eastAsia="仿宋_GB2312" w:cs="仿宋_GB2312"/>
          <w:sz w:val="32"/>
          <w:szCs w:val="32"/>
        </w:rPr>
        <w:t>按照相关文件要求，养</w:t>
      </w:r>
      <w:r>
        <w:rPr>
          <w:rFonts w:hint="eastAsia" w:ascii="仿宋_GB2312" w:eastAsia="仿宋_GB2312" w:cs="仿宋_GB2312"/>
          <w:sz w:val="32"/>
          <w:szCs w:val="32"/>
        </w:rPr>
        <w:t>老机构、托育机构用水用气用热用电按照居民生活类价格执行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即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元/平方米收取。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、相关要求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供热经营企业要按照规定，在经营场所醒目位置明码公示收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费标准，严格执行价格政策，加强经营管理，保证供热质量，完善服务措施，及时化解供用热矛盾。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本文件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自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2025年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10月1日起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执行。《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关于调整加格达奇区供热收费标准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的通知》（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加发改联发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〔20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〕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号）同时废止。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此复。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附件：加格达奇区供热价格调整说明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黑龙江省大兴安岭地区行政公署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 xml:space="preserve">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2025年9月2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3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 xml:space="preserve">          </w:t>
      </w:r>
    </w:p>
    <w:p>
      <w:pPr>
        <w:pStyle w:val="2"/>
        <w:wordWrap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auto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加格达奇区供热价格调整说明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auto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2025年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加格达奇区人民政府第六次常务会议纪要要求，本次调价后，居民及民营企业、个体工商户的供热价格暂不调整，继续按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原收费标准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执行，具体情况如下。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b w:val="0"/>
          <w:sz w:val="32"/>
          <w:szCs w:val="32"/>
          <w:shd w:val="clear" w:color="auto" w:fill="auto"/>
        </w:rPr>
        <w:t>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shd w:val="clear" w:color="auto" w:fill="auto"/>
        </w:rPr>
        <w:t>民</w:t>
      </w:r>
      <w:r>
        <w:rPr>
          <w:rFonts w:ascii="仿宋_GB2312" w:hAnsi="仿宋_GB2312" w:eastAsia="仿宋_GB2312" w:cs="仿宋_GB2312"/>
          <w:b w:val="0"/>
          <w:sz w:val="32"/>
          <w:szCs w:val="32"/>
          <w:shd w:val="clear" w:color="auto" w:fill="auto"/>
        </w:rPr>
        <w:t>用户按照建筑面积减去冷阳台面积计费，供热价格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shd w:val="clear" w:color="auto" w:fill="auto"/>
        </w:rPr>
        <w:t>3</w:t>
      </w:r>
      <w:r>
        <w:rPr>
          <w:rFonts w:hint="default" w:ascii="仿宋_GB2312" w:hAnsi="仿宋_GB2312" w:eastAsia="仿宋_GB2312" w:cs="仿宋_GB2312"/>
          <w:b w:val="0"/>
          <w:sz w:val="32"/>
          <w:szCs w:val="32"/>
          <w:shd w:val="clear" w:color="auto" w:fill="auto"/>
        </w:rPr>
        <w:t>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shd w:val="clear" w:color="auto" w:fill="auto"/>
        </w:rPr>
        <w:t>元/平方米</w:t>
      </w:r>
      <w:r>
        <w:rPr>
          <w:rFonts w:hint="default" w:ascii="仿宋_GB2312" w:hAnsi="仿宋_GB2312" w:eastAsia="仿宋_GB2312" w:cs="仿宋_GB2312"/>
          <w:b w:val="0"/>
          <w:sz w:val="32"/>
          <w:szCs w:val="32"/>
          <w:shd w:val="clear" w:color="auto" w:fill="auto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民营企业及个体工商户用户按照建筑面积计费，供热价格为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</w:rPr>
        <w:t>50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shd w:val="clear" w:color="auto" w:fill="auto"/>
        </w:rPr>
        <w:t>元/平方米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2275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3pmntRwCAAAT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90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89535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05pt;height:144pt;width:144pt;mso-position-horizontal:outside;mso-position-horizontal-relative:margin;mso-wrap-style:none;z-index:251790336;mso-width-relative:page;mso-height-relative:page;" filled="f" stroked="f" coordsize="21600,21600" o:gfxdata="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GW/HM7UAAAABwEAAA8AAAAAAAAAAQAgAAAAOAAAAGRycy9kb3ducmV2LnhtbFBLAQIUABQAAAAI&#10;AIdO4kBe0JkVFAIAABMEAAAOAAAAAAAAAAEAIAAAADk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59BCD"/>
    <w:multiLevelType w:val="singleLevel"/>
    <w:tmpl w:val="67E59B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BFD4D69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6FFF593B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9D63B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A7330D80"/>
    <w:rsid w:val="A76FF63D"/>
    <w:rsid w:val="AF59AE92"/>
    <w:rsid w:val="AFFB8BF8"/>
    <w:rsid w:val="B3D52465"/>
    <w:rsid w:val="B4FF4BC8"/>
    <w:rsid w:val="B6F52494"/>
    <w:rsid w:val="BBEF8777"/>
    <w:rsid w:val="E8DBCF7A"/>
    <w:rsid w:val="EADF41FD"/>
    <w:rsid w:val="EF589A31"/>
    <w:rsid w:val="F0BE44FE"/>
    <w:rsid w:val="F36B23E2"/>
    <w:rsid w:val="F77FA0C6"/>
    <w:rsid w:val="F7BBCD7D"/>
    <w:rsid w:val="F7FFA232"/>
    <w:rsid w:val="F9D124AF"/>
    <w:rsid w:val="FAA5FF50"/>
    <w:rsid w:val="FBB236B4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ind w:firstLine="630"/>
    </w:pPr>
    <w:rPr>
      <w:kern w:val="0"/>
    </w:rPr>
  </w:style>
  <w:style w:type="paragraph" w:styleId="8">
    <w:name w:val="Body Text"/>
    <w:basedOn w:val="1"/>
    <w:next w:val="9"/>
    <w:semiHidden/>
    <w:unhideWhenUsed/>
    <w:qFormat/>
    <w:uiPriority w:val="99"/>
    <w:pPr>
      <w:spacing w:after="120"/>
    </w:p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"/>
    <w:basedOn w:val="8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4">
    <w:name w:val="Body Text First Indent 2"/>
    <w:basedOn w:val="10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8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9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5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2022-09-07T23:03:00Z</dcterms:created>
  <dc:creator>小明</dc:creator>
  <cp:lastModifiedBy>dxal</cp:lastModifiedBy>
  <cp:lastPrinted>2025-09-23T23:38:00Z</cp:lastPrinted>
  <dcterms:modified xsi:type="dcterms:W3CDTF">2025-09-23T16:53:44Z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