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Calibri" w:hAnsi="Calibri" w:eastAsia="方正小标宋简体" w:cs="Times New Roman"/>
          <w:spacing w:val="74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eastAsia" w:ascii="Calibri" w:hAnsi="Calibri" w:eastAsia="方正小标宋简体" w:cs="Times New Roman"/>
          <w:spacing w:val="74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Calibri" w:hAnsi="Calibri" w:eastAsia="方正小标宋简体" w:cs="Times New Roman"/>
          <w:spacing w:val="74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ab/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                大署函〔2025〕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121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号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eastAsia="方正小标宋简体" w:cs="方正小标宋简体"/>
          <w:bCs/>
          <w:sz w:val="44"/>
          <w:szCs w:val="44"/>
          <w:lang w:bidi="ar-SA"/>
        </w:rPr>
      </w:pPr>
      <w:r>
        <w:rPr>
          <w:rFonts w:hint="default" w:ascii="方正小标宋简体" w:eastAsia="方正小标宋简体" w:cs="方正小标宋简体"/>
          <w:bCs/>
          <w:sz w:val="44"/>
          <w:szCs w:val="44"/>
          <w:lang w:bidi="ar-SA"/>
        </w:rPr>
        <w:t>大兴安岭地区行署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cs="方正小标宋简体"/>
          <w:bCs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关于延续</w:t>
      </w:r>
      <w:r>
        <w:rPr>
          <w:rFonts w:ascii="方正小标宋简体" w:eastAsia="方正小标宋简体" w:cs="方正小标宋简体"/>
          <w:bCs/>
          <w:sz w:val="44"/>
          <w:szCs w:val="44"/>
          <w:lang w:bidi="ar-SA"/>
        </w:rPr>
        <w:t>龙江第一湾景区</w:t>
      </w:r>
      <w:r>
        <w:rPr>
          <w:rFonts w:ascii="Times New Roman" w:hAnsi="Times New Roman" w:eastAsia="方正小标宋_GBK" w:cs="Times New Roman"/>
          <w:color w:val="000000"/>
          <w:sz w:val="40"/>
          <w:szCs w:val="40"/>
          <w:lang w:val="en-US" w:eastAsia="zh-CN"/>
        </w:rPr>
        <w:t>观光车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小标宋_GBK"/>
          <w:color w:val="000000"/>
          <w:sz w:val="40"/>
          <w:szCs w:val="40"/>
        </w:rPr>
      </w:pPr>
      <w:r>
        <w:rPr>
          <w:rFonts w:ascii="Times New Roman" w:hAnsi="Times New Roman" w:eastAsia="方正小标宋_GBK" w:cs="Times New Roman"/>
          <w:color w:val="000000"/>
          <w:sz w:val="40"/>
          <w:szCs w:val="40"/>
          <w:lang w:val="en-US" w:eastAsia="zh-CN"/>
        </w:rPr>
        <w:t>车票</w:t>
      </w:r>
      <w:r>
        <w:rPr>
          <w:rFonts w:hint="eastAsia" w:ascii="Times New Roman" w:hAnsi="Times New Roman" w:eastAsia="方正小标宋_GBK" w:cs="Times New Roman"/>
          <w:color w:val="000000"/>
          <w:sz w:val="40"/>
          <w:szCs w:val="40"/>
          <w:lang w:val="en-US" w:eastAsia="zh-CN"/>
        </w:rPr>
        <w:t>价格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等有关事项的批复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漠河市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auto"/>
          <w:lang w:val="en-US" w:eastAsia="zh-CN"/>
        </w:rPr>
        <w:t>《漠河市人民政府关于</w:t>
      </w:r>
      <w:r>
        <w:rPr>
          <w:rFonts w:ascii="仿宋_GB2312" w:hAnsi="仿宋_GB2312" w:eastAsia="仿宋_GB2312" w:cs="仿宋_GB2312"/>
          <w:bCs/>
          <w:sz w:val="32"/>
          <w:szCs w:val="32"/>
          <w:shd w:val="clear" w:color="auto" w:fill="auto"/>
          <w:lang w:val="en-US" w:eastAsia="zh-CN"/>
        </w:rPr>
        <w:t>图强林业局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auto"/>
          <w:lang w:val="en-US" w:eastAsia="zh-CN"/>
        </w:rPr>
        <w:t>龙江第一湾</w:t>
      </w:r>
      <w:r>
        <w:rPr>
          <w:rFonts w:hint="default" w:ascii="仿宋_GB2312" w:hAnsi="仿宋_GB2312" w:eastAsia="仿宋_GB2312" w:cs="仿宋_GB2312"/>
          <w:bCs/>
          <w:sz w:val="32"/>
          <w:szCs w:val="32"/>
          <w:shd w:val="clear" w:color="auto" w:fill="auto"/>
          <w:lang w:eastAsia="zh-CN"/>
        </w:rPr>
        <w:t>景区</w:t>
      </w:r>
      <w:r>
        <w:rPr>
          <w:rFonts w:ascii="仿宋_GB2312" w:hAnsi="仿宋_GB2312" w:eastAsia="仿宋_GB2312" w:cs="仿宋_GB2312"/>
          <w:bCs/>
          <w:sz w:val="32"/>
          <w:szCs w:val="32"/>
          <w:shd w:val="clear" w:color="auto" w:fill="auto"/>
          <w:lang w:val="en-US" w:eastAsia="zh-CN"/>
        </w:rPr>
        <w:t>观光车票继续收费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auto"/>
          <w:lang w:val="en-US" w:eastAsia="zh-CN"/>
        </w:rPr>
        <w:t>的请示》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（</w:t>
      </w:r>
      <w:r>
        <w:rPr>
          <w:rFonts w:hint="default" w:ascii="仿宋_GB2312" w:eastAsia="仿宋_GB2312" w:cs="仿宋_GB2312"/>
          <w:sz w:val="32"/>
          <w:szCs w:val="32"/>
          <w:lang w:eastAsia="zh-CN" w:bidi="ar-SA"/>
        </w:rPr>
        <w:t>漠政呈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〔202</w:t>
      </w:r>
      <w:r>
        <w:rPr>
          <w:rFonts w:hint="default" w:ascii="仿宋_GB2312" w:eastAsia="仿宋_GB2312" w:cs="仿宋_GB2312"/>
          <w:sz w:val="32"/>
          <w:szCs w:val="32"/>
          <w:lang w:eastAsia="zh-CN"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〕</w:t>
      </w:r>
      <w:r>
        <w:rPr>
          <w:rFonts w:hint="default" w:ascii="仿宋_GB2312" w:eastAsia="仿宋_GB2312" w:cs="仿宋_GB2312"/>
          <w:sz w:val="32"/>
          <w:szCs w:val="32"/>
          <w:lang w:eastAsia="zh-CN" w:bidi="ar-SA"/>
        </w:rPr>
        <w:t>32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号）收悉，根据《黑龙江省定价目录》（黑发改规〔2023〕1号）、《黑龙江省游览参观点门票价格管理办法》（黑价经〔2011〕50号）精神，经研究，现将景区</w:t>
      </w: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观光车</w:t>
      </w:r>
      <w:r>
        <w:rPr>
          <w:rFonts w:ascii="仿宋_GB2312" w:eastAsia="仿宋_GB2312" w:cs="仿宋_GB2312"/>
          <w:sz w:val="32"/>
          <w:szCs w:val="32"/>
          <w:lang w:eastAsia="zh-CN" w:bidi="ar-SA"/>
        </w:rPr>
        <w:t>车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票价格批复如下</w:t>
      </w:r>
      <w:r>
        <w:rPr>
          <w:rFonts w:hint="default" w:ascii="仿宋_GB2312" w:eastAsia="仿宋_GB2312" w:cs="仿宋_GB2312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一、门票价格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-SA"/>
        </w:rPr>
        <w:t>龙江第一湾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景区</w:t>
      </w:r>
      <w:r>
        <w:rPr>
          <w:rFonts w:ascii="仿宋_GB2312" w:eastAsia="仿宋_GB2312" w:cs="仿宋_GB2312"/>
          <w:sz w:val="32"/>
          <w:szCs w:val="32"/>
          <w:lang w:bidi="ar-SA"/>
        </w:rPr>
        <w:t>观光车车票价格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每人次</w:t>
      </w:r>
      <w:r>
        <w:rPr>
          <w:rFonts w:ascii="仿宋_GB2312" w:eastAsia="仿宋_GB2312" w:cs="仿宋_GB2312"/>
          <w:sz w:val="32"/>
          <w:szCs w:val="32"/>
          <w:lang w:bidi="ar-SA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二、优惠政策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  <w:shd w:val="clear" w:color="auto" w:fill="auto"/>
          <w:lang w:bidi="ar-SA"/>
        </w:rPr>
      </w:pPr>
      <w:r>
        <w:rPr>
          <w:rFonts w:ascii="仿宋_GB2312" w:hAnsi="仿宋_GB2312" w:eastAsia="仿宋_GB2312" w:cs="仿宋_GB2312"/>
          <w:bCs/>
          <w:sz w:val="32"/>
          <w:szCs w:val="32"/>
          <w:shd w:val="clear" w:color="auto" w:fill="auto"/>
          <w:lang w:bidi="ar-SA"/>
        </w:rPr>
        <w:t>对身高1.2米（含1.2米）以下的儿童，凭有效证件的6周岁（含6周岁）以下儿童、实行免观光车车票优惠。残疾军人、现役军人及家属凭有效证件、消防救援人员凭国家综合性消防救援队伍证，实行法定节假日观光车免票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三、相关要求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134" w:right="1474" w:bottom="1134" w:left="1587" w:header="851" w:footer="992" w:gutter="0"/>
          <w:pgNumType w:fmt="decimal" w:start="2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景区要严格执行明码标价制度，按规定在其官方网站、收费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场所显著位置公示收费依据、收费项目、收费标准、服务内容、监督投诉电话等信息。不得收取未予公示的任何费用，自觉接受社会和舆论监督。观光车服务属消费者自选项目，要本着游客自愿选择的原则，保障游客选择权，不得将门票、游览服务、保险等捆绑销售，不得价外加价或强制代收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</w:rPr>
        <w:t>四、执</w:t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行日期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本批复自文件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日起执行。执行期间，国家和省如出台新的相关政策，从其规定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    此复。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>
      <w:pPr>
        <w:pStyle w:val="12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黑龙江省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大兴安岭地区行</w:t>
      </w:r>
      <w:r>
        <w:rPr>
          <w:rFonts w:hint="default" w:ascii="仿宋_GB2312" w:hAnsi="仿宋_GB2312" w:eastAsia="仿宋_GB2312" w:cs="仿宋_GB2312"/>
          <w:sz w:val="32"/>
          <w:szCs w:val="32"/>
        </w:rPr>
        <w:t>政公</w:t>
      </w:r>
      <w:r>
        <w:rPr>
          <w:rFonts w:hint="eastAsia" w:ascii="仿宋_GB2312" w:hAnsi="仿宋_GB2312" w:eastAsia="仿宋_GB2312" w:cs="仿宋_GB2312"/>
          <w:sz w:val="32"/>
          <w:szCs w:val="32"/>
        </w:rPr>
        <w:t>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2025年12月1</w:t>
      </w:r>
      <w:r>
        <w:rPr>
          <w:rFonts w:hint="default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389890</wp:posOffset>
                </wp:positionV>
                <wp:extent cx="57150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30.7pt;height:0.05pt;width:450pt;z-index:251666432;mso-width-relative:page;mso-height-relative:page;" filled="f" stroked="t" coordsize="21600,21600" o:gfxdata="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1ReADXAAAACQEAAA8AAAAAAAAAAQAgAAAAOAAAAGRycy9kb3ducmV2LnhtbFBLAQIUABQA&#10;AAAIAIdO4kASW/+q2wEAAJoDAAAOAAAAAAAAAAEAIAAAADw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17780</wp:posOffset>
                </wp:positionV>
                <wp:extent cx="57150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1.4pt;height:0.05pt;width:450pt;z-index:251665408;mso-width-relative:page;mso-height-relative:page;" filled="f" stroked="t" coordsize="21600,21600" o:gfxdata="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HzYyFtUAAAAHAQAADwAAAAAAAAABACAAAAA4AAAAZHJzL2Rvd25yZXYueG1sUEsBAhQAFAAA&#10;AAgAh07iQPypsuLcAQAAmAMAAA4AAAAAAAAAAQAgAAAAO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大兴安岭地区行署办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公室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2025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7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78931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78931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BJ+vI3WAAAABwEAAA8AAAAAAAAAAQAgAAAAOAAAAGRycy9kb3ducmV2LnhtbFBL&#10;AQIUABQAAAAIAIdO4kDc0dfbGwIAABU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923456" behindDoc="0" locked="0" layoutInCell="1" allowOverlap="1">
              <wp:simplePos x="0" y="0"/>
              <wp:positionH relativeFrom="margin">
                <wp:posOffset>39370</wp:posOffset>
              </wp:positionH>
              <wp:positionV relativeFrom="paragraph">
                <wp:posOffset>-139065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1pt;margin-top:-10.95pt;height:144pt;width:144pt;mso-position-horizontal-relative:margin;mso-wrap-style:none;z-index:251923456;mso-width-relative:page;mso-height-relative:page;" filled="f" stroked="f" coordsize="21600,21600" o:gfxdata="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FQOLfLWAAAACQEAAA8AAAAAAAAAAQAgAAAAOAAAAGRycy9kb3ducmV2LnhtbFBLAQIUABQAAAAI&#10;AIdO4kBK283/EgIAABMEAAAOAAAAAAAAAAEAIAAAADs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92243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92243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SfryN1gAAAAcBAAAPAAAAAAAAAAEAIAAAADgAAABkcnMvZG93bnJldi54bWxQ&#10;SwECFAAUAAAACACHTuJAWy8eMBwCAAAV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35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WYyZjM0MGVmOWJkMTY3OWUzMjIyNWM0YWFmMzEifQ=="/>
  </w:docVars>
  <w:rsids>
    <w:rsidRoot w:val="519F1114"/>
    <w:rsid w:val="00766354"/>
    <w:rsid w:val="04487067"/>
    <w:rsid w:val="070D3824"/>
    <w:rsid w:val="08855EA9"/>
    <w:rsid w:val="0A3851CE"/>
    <w:rsid w:val="0BCD50E1"/>
    <w:rsid w:val="0E270571"/>
    <w:rsid w:val="0EBE4F11"/>
    <w:rsid w:val="10601025"/>
    <w:rsid w:val="11883E53"/>
    <w:rsid w:val="13507C4D"/>
    <w:rsid w:val="138F0B1F"/>
    <w:rsid w:val="139525D9"/>
    <w:rsid w:val="16FA09A5"/>
    <w:rsid w:val="173870B1"/>
    <w:rsid w:val="18805260"/>
    <w:rsid w:val="197E5AC5"/>
    <w:rsid w:val="1A563640"/>
    <w:rsid w:val="1B0C0A88"/>
    <w:rsid w:val="1B485BA7"/>
    <w:rsid w:val="1BB05BB9"/>
    <w:rsid w:val="1D602D56"/>
    <w:rsid w:val="1E3D5D47"/>
    <w:rsid w:val="1E7E3BC8"/>
    <w:rsid w:val="1F2121D3"/>
    <w:rsid w:val="1F3025CC"/>
    <w:rsid w:val="1F546F50"/>
    <w:rsid w:val="20240A94"/>
    <w:rsid w:val="220A3A35"/>
    <w:rsid w:val="22A35694"/>
    <w:rsid w:val="22D623DA"/>
    <w:rsid w:val="237B69CA"/>
    <w:rsid w:val="25FA5EE8"/>
    <w:rsid w:val="26887D7C"/>
    <w:rsid w:val="28355CE1"/>
    <w:rsid w:val="29862A38"/>
    <w:rsid w:val="2B344126"/>
    <w:rsid w:val="2C5E51BB"/>
    <w:rsid w:val="2E331933"/>
    <w:rsid w:val="2E8A57EA"/>
    <w:rsid w:val="2F581430"/>
    <w:rsid w:val="2FFDD749"/>
    <w:rsid w:val="2FFF2CEE"/>
    <w:rsid w:val="2FFF60B6"/>
    <w:rsid w:val="30121DEE"/>
    <w:rsid w:val="31800C17"/>
    <w:rsid w:val="31950990"/>
    <w:rsid w:val="331C6CDA"/>
    <w:rsid w:val="33A64101"/>
    <w:rsid w:val="36CF5679"/>
    <w:rsid w:val="36FF3A83"/>
    <w:rsid w:val="38C60FFD"/>
    <w:rsid w:val="39003169"/>
    <w:rsid w:val="3A0F69B6"/>
    <w:rsid w:val="3A7F4B06"/>
    <w:rsid w:val="3B9E0B07"/>
    <w:rsid w:val="3BB940F8"/>
    <w:rsid w:val="3BCBDFBA"/>
    <w:rsid w:val="3C1513FA"/>
    <w:rsid w:val="3CE31C11"/>
    <w:rsid w:val="3D205262"/>
    <w:rsid w:val="3F7FC9D0"/>
    <w:rsid w:val="40155F72"/>
    <w:rsid w:val="42131118"/>
    <w:rsid w:val="43CFDF6B"/>
    <w:rsid w:val="44250560"/>
    <w:rsid w:val="448A6B79"/>
    <w:rsid w:val="44C45FCB"/>
    <w:rsid w:val="483A63D2"/>
    <w:rsid w:val="49397A24"/>
    <w:rsid w:val="4B823782"/>
    <w:rsid w:val="4C0309E6"/>
    <w:rsid w:val="4DC5711D"/>
    <w:rsid w:val="4E380879"/>
    <w:rsid w:val="4E915170"/>
    <w:rsid w:val="4EB66FD8"/>
    <w:rsid w:val="4FC60E49"/>
    <w:rsid w:val="519F1114"/>
    <w:rsid w:val="525A21D0"/>
    <w:rsid w:val="52795D32"/>
    <w:rsid w:val="52DF95B7"/>
    <w:rsid w:val="52FF5F8B"/>
    <w:rsid w:val="53FDF41F"/>
    <w:rsid w:val="543839BE"/>
    <w:rsid w:val="548051B1"/>
    <w:rsid w:val="5559450E"/>
    <w:rsid w:val="561F417C"/>
    <w:rsid w:val="569357FD"/>
    <w:rsid w:val="56FC3B73"/>
    <w:rsid w:val="58A727BF"/>
    <w:rsid w:val="593A0E1B"/>
    <w:rsid w:val="59D83A25"/>
    <w:rsid w:val="5EC0115A"/>
    <w:rsid w:val="5F25DFB3"/>
    <w:rsid w:val="5F2D2A2D"/>
    <w:rsid w:val="5FDB3EC1"/>
    <w:rsid w:val="5FF81680"/>
    <w:rsid w:val="604F6C39"/>
    <w:rsid w:val="60A92A6A"/>
    <w:rsid w:val="60D65160"/>
    <w:rsid w:val="61C40F61"/>
    <w:rsid w:val="640F0BB9"/>
    <w:rsid w:val="67ABE312"/>
    <w:rsid w:val="6AA05BF2"/>
    <w:rsid w:val="6D6A3304"/>
    <w:rsid w:val="6D6F89BB"/>
    <w:rsid w:val="6E1F58A5"/>
    <w:rsid w:val="6EA14B04"/>
    <w:rsid w:val="6EEE17DC"/>
    <w:rsid w:val="6EFE7023"/>
    <w:rsid w:val="6F297204"/>
    <w:rsid w:val="6FD5473A"/>
    <w:rsid w:val="71FF23E1"/>
    <w:rsid w:val="71FF7054"/>
    <w:rsid w:val="72435ED2"/>
    <w:rsid w:val="72B1108D"/>
    <w:rsid w:val="732B471B"/>
    <w:rsid w:val="74C218BA"/>
    <w:rsid w:val="74EB2C86"/>
    <w:rsid w:val="75EE607A"/>
    <w:rsid w:val="760C32EE"/>
    <w:rsid w:val="76A834CD"/>
    <w:rsid w:val="795124C5"/>
    <w:rsid w:val="797D616D"/>
    <w:rsid w:val="7A76298D"/>
    <w:rsid w:val="7B193F76"/>
    <w:rsid w:val="7B75B174"/>
    <w:rsid w:val="7BBCDB69"/>
    <w:rsid w:val="7BC57958"/>
    <w:rsid w:val="7BF33008"/>
    <w:rsid w:val="7BFF25DB"/>
    <w:rsid w:val="7BFFE3B9"/>
    <w:rsid w:val="7CE45676"/>
    <w:rsid w:val="7CEF723D"/>
    <w:rsid w:val="7D67CED4"/>
    <w:rsid w:val="7DF700C9"/>
    <w:rsid w:val="7DFE5584"/>
    <w:rsid w:val="7E5F26BC"/>
    <w:rsid w:val="7E5F3F6A"/>
    <w:rsid w:val="7E6C620A"/>
    <w:rsid w:val="7EEB1B16"/>
    <w:rsid w:val="7F7F1B02"/>
    <w:rsid w:val="7F9B17BB"/>
    <w:rsid w:val="7FAA39CD"/>
    <w:rsid w:val="7FCFE05D"/>
    <w:rsid w:val="7FD83651"/>
    <w:rsid w:val="7FE598B2"/>
    <w:rsid w:val="7FF73B7C"/>
    <w:rsid w:val="7FFB8F11"/>
    <w:rsid w:val="7FFCFC09"/>
    <w:rsid w:val="8B7B0DC6"/>
    <w:rsid w:val="8DEBD44A"/>
    <w:rsid w:val="A7330D80"/>
    <w:rsid w:val="A76FF63D"/>
    <w:rsid w:val="AF59AE92"/>
    <w:rsid w:val="AFFB8BF8"/>
    <w:rsid w:val="B3D52465"/>
    <w:rsid w:val="B4FF4BC8"/>
    <w:rsid w:val="B55688E7"/>
    <w:rsid w:val="B6F52494"/>
    <w:rsid w:val="BBEF8777"/>
    <w:rsid w:val="E8DBCF7A"/>
    <w:rsid w:val="EADF41FD"/>
    <w:rsid w:val="EF589A31"/>
    <w:rsid w:val="F0BE44FE"/>
    <w:rsid w:val="F36B23E2"/>
    <w:rsid w:val="F77FA0C6"/>
    <w:rsid w:val="F7BBCD7D"/>
    <w:rsid w:val="F7FFA232"/>
    <w:rsid w:val="F9D124AF"/>
    <w:rsid w:val="FAA5FF50"/>
    <w:rsid w:val="FBB236B4"/>
    <w:rsid w:val="FCA368CA"/>
    <w:rsid w:val="FD4D0756"/>
    <w:rsid w:val="FDFF4D63"/>
    <w:rsid w:val="FE33B6CA"/>
    <w:rsid w:val="FEB31D9E"/>
    <w:rsid w:val="FEFFD495"/>
    <w:rsid w:val="FF263B2C"/>
    <w:rsid w:val="FF6FB4B5"/>
    <w:rsid w:val="FFAF76B8"/>
    <w:rsid w:val="FFFE38F6"/>
    <w:rsid w:val="FFFE72DE"/>
    <w:rsid w:val="FFFECB60"/>
    <w:rsid w:val="FFFFC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13"/>
      <w:sz w:val="52"/>
      <w:szCs w:val="5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"/>
    <w:basedOn w:val="1"/>
    <w:next w:val="8"/>
    <w:semiHidden/>
    <w:unhideWhenUsed/>
    <w:qFormat/>
    <w:uiPriority w:val="99"/>
    <w:pPr>
      <w:spacing w:after="120"/>
    </w:p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Arial" w:hAnsi="Arial" w:eastAsia="宋体" w:cs="Arial"/>
      <w:bCs/>
      <w:kern w:val="2"/>
      <w:sz w:val="32"/>
      <w:szCs w:val="32"/>
      <w:lang w:val="en-US" w:eastAsia="zh-CN" w:bidi="ar-SA"/>
    </w:rPr>
  </w:style>
  <w:style w:type="paragraph" w:styleId="13">
    <w:name w:val="Body Text First Indent"/>
    <w:basedOn w:val="7"/>
    <w:next w:val="1"/>
    <w:qFormat/>
    <w:uiPriority w:val="0"/>
    <w:pPr>
      <w:tabs>
        <w:tab w:val="left" w:pos="3972"/>
      </w:tabs>
      <w:spacing w:after="0" w:afterLines="0" w:line="588" w:lineRule="exact"/>
      <w:ind w:firstLine="880" w:firstLineChars="200"/>
    </w:pPr>
  </w:style>
  <w:style w:type="paragraph" w:styleId="14">
    <w:name w:val="Body Text First Indent 2"/>
    <w:basedOn w:val="9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mphasis"/>
    <w:basedOn w:val="17"/>
    <w:qFormat/>
    <w:uiPriority w:val="0"/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目录 81"/>
    <w:next w:val="1"/>
    <w:qFormat/>
    <w:uiPriority w:val="99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2">
    <w:name w:val="NormalCharacter"/>
    <w:qFormat/>
    <w:uiPriority w:val="0"/>
    <w:rPr>
      <w:rFonts w:ascii="Times New Roman" w:hAnsi="Times New Roman" w:eastAsia="宋体"/>
    </w:rPr>
  </w:style>
  <w:style w:type="paragraph" w:customStyle="1" w:styleId="23">
    <w:name w:val="样式 文字 + 首行缩进:  2 字符3"/>
    <w:basedOn w:val="1"/>
    <w:qFormat/>
    <w:uiPriority w:val="0"/>
    <w:pPr>
      <w:spacing w:line="360" w:lineRule="auto"/>
      <w:jc w:val="left"/>
    </w:pPr>
    <w:rPr>
      <w:rFonts w:ascii="等线" w:hAnsi="等线" w:eastAsia="等线"/>
      <w:sz w:val="28"/>
      <w:szCs w:val="28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after="340"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qFormat/>
    <w:uiPriority w:val="0"/>
    <w:pPr>
      <w:widowControl w:val="0"/>
      <w:shd w:val="clear" w:color="auto" w:fill="auto"/>
      <w:spacing w:after="190"/>
      <w:outlineLvl w:val="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7">
    <w:name w:val="首页1"/>
    <w:basedOn w:val="1"/>
    <w:qFormat/>
    <w:uiPriority w:val="0"/>
    <w:rPr>
      <w:rFonts w:ascii="宋体" w:hAnsi="宋体" w:eastAsia="宋体" w:cs="Times New Roman"/>
      <w:szCs w:val="21"/>
    </w:rPr>
  </w:style>
  <w:style w:type="paragraph" w:customStyle="1" w:styleId="28">
    <w:name w:val="说明1"/>
    <w:basedOn w:val="1"/>
    <w:next w:val="1"/>
    <w:qFormat/>
    <w:uiPriority w:val="0"/>
    <w:pPr>
      <w:widowControl/>
      <w:spacing w:before="100" w:beforeAutospacing="1" w:after="100" w:afterAutospacing="1"/>
      <w:ind w:left="283"/>
      <w:jc w:val="left"/>
    </w:pPr>
    <w:rPr>
      <w:rFonts w:ascii="宋体" w:hAnsi="宋体" w:eastAsia="宋体" w:cs="Arial"/>
      <w:b/>
      <w:kern w:val="0"/>
      <w:szCs w:val="21"/>
    </w:rPr>
  </w:style>
  <w:style w:type="paragraph" w:customStyle="1" w:styleId="29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1459</Characters>
  <Lines>0</Lines>
  <Paragraphs>0</Paragraphs>
  <TotalTime>11</TotalTime>
  <ScaleCrop>false</ScaleCrop>
  <LinksUpToDate>false</LinksUpToDate>
  <CharactersWithSpaces>1517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2022-09-08T15:03:00Z</dcterms:created>
  <dc:creator>小明</dc:creator>
  <cp:lastModifiedBy>dxal</cp:lastModifiedBy>
  <cp:lastPrinted>2024-01-27T23:41:00Z</cp:lastPrinted>
  <dcterms:modified xsi:type="dcterms:W3CDTF">2025-12-17T14:33:26Z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33AFF6B345124E2F83D86669684BEE0F</vt:lpwstr>
  </property>
</Properties>
</file>