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Calibri" w:hAnsi="Calibri" w:eastAsia="方正小标宋简体" w:cs="Times New Roman"/>
          <w:spacing w:val="74"/>
          <w:kern w:val="2"/>
          <w:sz w:val="21"/>
          <w:szCs w:val="24"/>
          <w:lang w:val="en-US" w:eastAsia="zh-CN" w:bidi="ar-SA"/>
        </w:rPr>
      </w:pPr>
    </w:p>
    <w:p>
      <w:pPr>
        <w:pStyle w:val="2"/>
        <w:rPr>
          <w:rFonts w:hint="eastAsia" w:ascii="Calibri" w:hAnsi="Calibri" w:eastAsia="方正小标宋简体" w:cs="Times New Roman"/>
          <w:spacing w:val="74"/>
          <w:kern w:val="2"/>
          <w:sz w:val="21"/>
          <w:szCs w:val="24"/>
          <w:lang w:val="en-US" w:eastAsia="zh-CN" w:bidi="ar-SA"/>
        </w:rPr>
      </w:pPr>
    </w:p>
    <w:p>
      <w:pPr>
        <w:rPr>
          <w:rFonts w:hint="eastAsia" w:ascii="Calibri" w:hAnsi="Calibri" w:eastAsia="方正小标宋简体" w:cs="Times New Roman"/>
          <w:spacing w:val="74"/>
          <w:kern w:val="2"/>
          <w:sz w:val="21"/>
          <w:szCs w:val="24"/>
          <w:lang w:val="en-US" w:eastAsia="zh-CN" w:bidi="ar-SA"/>
        </w:rPr>
      </w:pPr>
    </w:p>
    <w:p>
      <w:pPr>
        <w:pStyle w:val="2"/>
        <w:rPr>
          <w:rFonts w:hint="eastAsia" w:ascii="Calibri" w:hAnsi="Calibri" w:eastAsia="方正小标宋简体" w:cs="Times New Roman"/>
          <w:spacing w:val="74"/>
          <w:kern w:val="2"/>
          <w:sz w:val="21"/>
          <w:szCs w:val="24"/>
          <w:lang w:val="en-US" w:eastAsia="zh-CN" w:bidi="ar-SA"/>
        </w:rPr>
      </w:pPr>
    </w:p>
    <w:p>
      <w:pPr>
        <w:rPr>
          <w:rFonts w:hint="eastAsia"/>
          <w:lang w:val="en-US" w:eastAsia="zh-CN"/>
        </w:rPr>
      </w:pPr>
    </w:p>
    <w:p>
      <w:pPr>
        <w:keepNext w:val="0"/>
        <w:keepLines w:val="0"/>
        <w:pageBreakBefore w:val="0"/>
        <w:widowControl w:val="0"/>
        <w:tabs>
          <w:tab w:val="left" w:pos="1965"/>
          <w:tab w:val="right" w:pos="8965"/>
        </w:tabs>
        <w:kinsoku/>
        <w:wordWrap w:val="0"/>
        <w:overflowPunct/>
        <w:topLinePunct w:val="0"/>
        <w:autoSpaceDE/>
        <w:autoSpaceDN/>
        <w:bidi w:val="0"/>
        <w:adjustRightInd/>
        <w:snapToGrid/>
        <w:spacing w:line="600" w:lineRule="exact"/>
        <w:jc w:val="left"/>
        <w:textAlignment w:val="auto"/>
        <w:rPr>
          <w:rFonts w:hint="eastAsia" w:ascii="仿宋_GB2312" w:hAnsi="宋体" w:eastAsia="仿宋_GB2312" w:cs="宋体"/>
          <w:b w:val="0"/>
          <w:bCs w:val="0"/>
          <w:spacing w:val="12"/>
          <w:sz w:val="32"/>
          <w:szCs w:val="32"/>
        </w:rPr>
      </w:pPr>
      <w:r>
        <w:rPr>
          <w:rFonts w:hint="eastAsia" w:ascii="仿宋_GB2312" w:hAnsi="宋体" w:eastAsia="仿宋_GB2312" w:cs="宋体"/>
          <w:b w:val="0"/>
          <w:bCs w:val="0"/>
          <w:spacing w:val="12"/>
          <w:sz w:val="32"/>
          <w:szCs w:val="32"/>
          <w:lang w:eastAsia="zh-CN"/>
        </w:rPr>
        <w:tab/>
      </w:r>
      <w:r>
        <w:rPr>
          <w:rFonts w:hint="eastAsia" w:ascii="仿宋_GB2312" w:hAnsi="宋体" w:eastAsia="仿宋_GB2312" w:cs="宋体"/>
          <w:b w:val="0"/>
          <w:bCs w:val="0"/>
          <w:spacing w:val="12"/>
          <w:sz w:val="32"/>
          <w:szCs w:val="32"/>
          <w:lang w:val="en-US" w:eastAsia="zh-CN"/>
        </w:rPr>
        <w:t xml:space="preserve">              </w:t>
      </w:r>
      <w:r>
        <w:rPr>
          <w:rFonts w:hint="default" w:ascii="仿宋_GB2312" w:hAnsi="宋体" w:eastAsia="仿宋_GB2312" w:cs="宋体"/>
          <w:b w:val="0"/>
          <w:bCs w:val="0"/>
          <w:spacing w:val="12"/>
          <w:sz w:val="32"/>
          <w:szCs w:val="32"/>
          <w:lang w:eastAsia="zh-CN"/>
        </w:rPr>
        <w:t xml:space="preserve"> </w:t>
      </w:r>
      <w:r>
        <w:rPr>
          <w:rFonts w:hint="eastAsia" w:ascii="仿宋_GB2312" w:hAnsi="宋体" w:eastAsia="仿宋_GB2312" w:cs="宋体"/>
          <w:b w:val="0"/>
          <w:bCs w:val="0"/>
          <w:spacing w:val="12"/>
          <w:sz w:val="32"/>
          <w:szCs w:val="32"/>
          <w:lang w:val="en-US" w:eastAsia="zh-CN"/>
        </w:rPr>
        <w:t xml:space="preserve">     大署函〔202</w:t>
      </w:r>
      <w:r>
        <w:rPr>
          <w:rFonts w:hint="default" w:ascii="仿宋_GB2312" w:hAnsi="宋体" w:eastAsia="仿宋_GB2312" w:cs="宋体"/>
          <w:b w:val="0"/>
          <w:bCs w:val="0"/>
          <w:spacing w:val="12"/>
          <w:sz w:val="32"/>
          <w:szCs w:val="32"/>
          <w:lang w:eastAsia="zh-CN"/>
        </w:rPr>
        <w:t>6</w:t>
      </w:r>
      <w:r>
        <w:rPr>
          <w:rFonts w:hint="eastAsia" w:ascii="仿宋_GB2312" w:hAnsi="宋体" w:eastAsia="仿宋_GB2312" w:cs="宋体"/>
          <w:b w:val="0"/>
          <w:bCs w:val="0"/>
          <w:spacing w:val="12"/>
          <w:sz w:val="32"/>
          <w:szCs w:val="32"/>
          <w:lang w:val="en-US" w:eastAsia="zh-CN"/>
        </w:rPr>
        <w:t>〕</w:t>
      </w:r>
      <w:r>
        <w:rPr>
          <w:rFonts w:hint="default" w:ascii="仿宋_GB2312" w:hAnsi="宋体" w:eastAsia="仿宋_GB2312" w:cs="宋体"/>
          <w:b w:val="0"/>
          <w:bCs w:val="0"/>
          <w:spacing w:val="12"/>
          <w:sz w:val="32"/>
          <w:szCs w:val="32"/>
          <w:lang w:eastAsia="zh-CN"/>
        </w:rPr>
        <w:t>79</w:t>
      </w:r>
      <w:r>
        <w:rPr>
          <w:rFonts w:hint="eastAsia" w:ascii="仿宋_GB2312" w:hAnsi="宋体" w:eastAsia="仿宋_GB2312" w:cs="宋体"/>
          <w:b w:val="0"/>
          <w:bCs w:val="0"/>
          <w:spacing w:val="12"/>
          <w:sz w:val="32"/>
          <w:szCs w:val="32"/>
          <w:lang w:val="en-US" w:eastAsia="zh-CN"/>
        </w:rPr>
        <w:t>号</w:t>
      </w:r>
    </w:p>
    <w:p>
      <w:pPr>
        <w:pStyle w:val="2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方正小标宋简体" w:eastAsia="方正小标宋简体" w:cs="方正小标宋简体"/>
          <w:sz w:val="44"/>
          <w:szCs w:val="44"/>
          <w:lang w:eastAsia="zh-CN"/>
        </w:rPr>
      </w:pPr>
      <w:r>
        <w:rPr>
          <w:rFonts w:hint="default" w:ascii="方正小标宋简体" w:eastAsia="方正小标宋简体" w:cs="方正小标宋简体"/>
          <w:bCs/>
          <w:spacing w:val="11"/>
          <w:sz w:val="44"/>
          <w:szCs w:val="44"/>
          <w:lang w:eastAsia="zh-CN"/>
        </w:rPr>
        <w:t>大兴安岭地区行署</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关于呼玛县福利院闲置床位对外开放</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收费标准的批复</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cs="方正小标宋简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呼玛县人民政府：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eastAsia="zh-CN"/>
        </w:rPr>
        <w:t>按照省发改委相关文件规定，对呼玛县公办养老机构闲置床位对社会开放的收费标准重新规范，</w:t>
      </w:r>
      <w:r>
        <w:rPr>
          <w:rFonts w:hint="default" w:ascii="仿宋_GB2312" w:eastAsia="仿宋_GB2312" w:cs="仿宋_GB2312"/>
          <w:sz w:val="32"/>
          <w:szCs w:val="32"/>
          <w:lang w:eastAsia="zh-CN"/>
        </w:rPr>
        <w:t>现将</w:t>
      </w:r>
      <w:r>
        <w:rPr>
          <w:rFonts w:hint="eastAsia" w:ascii="仿宋_GB2312" w:eastAsia="仿宋_GB2312" w:cs="仿宋_GB2312"/>
          <w:sz w:val="32"/>
          <w:szCs w:val="32"/>
          <w:lang w:eastAsia="zh-CN"/>
        </w:rPr>
        <w:t>有关事项批复如下。</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Times New Roman" w:eastAsia="黑体" w:cs="黑体"/>
          <w:bCs w:val="0"/>
          <w:color w:val="auto"/>
          <w:sz w:val="32"/>
          <w:szCs w:val="32"/>
          <w:lang w:val="en-US" w:eastAsia="zh-CN" w:bidi="ar-SA"/>
        </w:rPr>
      </w:pPr>
      <w:r>
        <w:rPr>
          <w:rFonts w:hint="eastAsia" w:ascii="黑体" w:hAnsi="Times New Roman" w:eastAsia="黑体" w:cs="黑体"/>
          <w:bCs w:val="0"/>
          <w:color w:val="auto"/>
          <w:sz w:val="32"/>
          <w:szCs w:val="32"/>
          <w:lang w:val="en-US" w:eastAsia="zh-CN" w:bidi="ar-SA"/>
        </w:rPr>
        <w:t>一</w:t>
      </w:r>
      <w:r>
        <w:rPr>
          <w:rFonts w:hint="default" w:ascii="黑体" w:hAnsi="Times New Roman" w:eastAsia="黑体" w:cs="黑体"/>
          <w:bCs w:val="0"/>
          <w:color w:val="auto"/>
          <w:sz w:val="32"/>
          <w:szCs w:val="32"/>
          <w:lang w:eastAsia="zh-CN" w:bidi="ar-SA"/>
        </w:rPr>
        <w:t>、</w:t>
      </w:r>
      <w:r>
        <w:rPr>
          <w:rFonts w:hint="eastAsia" w:ascii="黑体" w:hAnsi="Times New Roman" w:eastAsia="黑体" w:cs="黑体"/>
          <w:bCs w:val="0"/>
          <w:color w:val="auto"/>
          <w:sz w:val="32"/>
          <w:szCs w:val="32"/>
          <w:lang w:val="en-US" w:eastAsia="zh-CN" w:bidi="ar-SA"/>
        </w:rPr>
        <w:t>收费标准</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eastAsia="仿宋_GB2312" w:cs="仿宋_GB2312"/>
          <w:sz w:val="32"/>
          <w:szCs w:val="32"/>
          <w:lang w:eastAsia="zh-CN"/>
        </w:rPr>
      </w:pPr>
      <w:r>
        <w:rPr>
          <w:rFonts w:hint="eastAsia" w:ascii="仿宋_GB2312" w:hAnsi="仿宋_GB2312" w:eastAsia="仿宋_GB2312" w:cs="仿宋_GB2312"/>
          <w:bCs w:val="0"/>
          <w:color w:val="auto"/>
          <w:sz w:val="32"/>
          <w:szCs w:val="32"/>
          <w:lang w:val="en-US" w:eastAsia="zh-CN" w:bidi="ar-SA"/>
        </w:rPr>
        <w:t>养老服务收费标准仍按照《呼玛县人民政府关于呼玛县福利院闲置床位对外开放收费标准的批复》（呼政函〔2023〕87号）标准执行，具体如下：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生活基本自理老人双人间</w:t>
      </w:r>
      <w:r>
        <w:rPr>
          <w:rFonts w:hint="eastAsia" w:ascii="仿宋_GB2312" w:eastAsia="仿宋_GB2312" w:cs="仿宋_GB2312"/>
          <w:sz w:val="32"/>
          <w:szCs w:val="32"/>
          <w:lang w:val="en-US" w:eastAsia="zh-CN"/>
        </w:rPr>
        <w:t>1800元</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月</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人，三人间1600元</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月</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人。生活不能自理老人根据入院评估等级，每人每月2100元至2800元（具体服务内容与对应的收费标准见附</w:t>
      </w:r>
      <w:r>
        <w:rPr>
          <w:rFonts w:hint="default" w:ascii="仿宋_GB2312" w:eastAsia="仿宋_GB2312" w:cs="仿宋_GB2312"/>
          <w:sz w:val="32"/>
          <w:szCs w:val="32"/>
          <w:lang w:eastAsia="zh-CN"/>
        </w:rPr>
        <w:t>件</w:t>
      </w:r>
      <w:r>
        <w:rPr>
          <w:rFonts w:hint="eastAsia" w:ascii="仿宋_GB2312" w:eastAsia="仿宋_GB2312" w:cs="仿宋_GB2312"/>
          <w:sz w:val="32"/>
          <w:szCs w:val="32"/>
          <w:lang w:val="en-US" w:eastAsia="zh-CN"/>
        </w:rPr>
        <w:t>）。根据委托人要求需要特别护理的老人，双方签订合同协商确定护理费。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Times New Roman" w:eastAsia="黑体" w:cs="黑体"/>
          <w:bCs w:val="0"/>
          <w:color w:val="auto"/>
          <w:sz w:val="32"/>
          <w:szCs w:val="32"/>
          <w:lang w:val="en-US" w:eastAsia="zh-CN" w:bidi="ar-SA"/>
        </w:rPr>
      </w:pPr>
      <w:r>
        <w:rPr>
          <w:rFonts w:hint="eastAsia" w:ascii="黑体" w:hAnsi="Times New Roman" w:eastAsia="黑体" w:cs="黑体"/>
          <w:bCs w:val="0"/>
          <w:color w:val="auto"/>
          <w:sz w:val="32"/>
          <w:szCs w:val="32"/>
          <w:lang w:val="en-US" w:eastAsia="zh-CN" w:bidi="ar-SA"/>
        </w:rPr>
        <w:t>二</w:t>
      </w:r>
      <w:r>
        <w:rPr>
          <w:rFonts w:hint="default" w:ascii="黑体" w:hAnsi="Times New Roman" w:eastAsia="黑体" w:cs="黑体"/>
          <w:bCs w:val="0"/>
          <w:color w:val="auto"/>
          <w:sz w:val="32"/>
          <w:szCs w:val="32"/>
          <w:lang w:eastAsia="zh-CN" w:bidi="ar-SA"/>
        </w:rPr>
        <w:t>、</w:t>
      </w:r>
      <w:r>
        <w:rPr>
          <w:rFonts w:hint="eastAsia" w:ascii="黑体" w:hAnsi="Times New Roman" w:eastAsia="黑体" w:cs="黑体"/>
          <w:bCs w:val="0"/>
          <w:color w:val="auto"/>
          <w:sz w:val="32"/>
          <w:szCs w:val="32"/>
          <w:lang w:val="en-US" w:eastAsia="zh-CN" w:bidi="ar-SA"/>
        </w:rPr>
        <w:t>相关要求</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sz w:val="32"/>
          <w:szCs w:val="32"/>
          <w:lang w:val="en-US" w:eastAsia="zh-CN"/>
        </w:rPr>
        <w:sectPr>
          <w:footerReference r:id="rId3" w:type="default"/>
          <w:pgSz w:w="11906" w:h="16838"/>
          <w:pgMar w:top="1134" w:right="1474" w:bottom="1134" w:left="1587" w:header="851" w:footer="992" w:gutter="0"/>
          <w:pgNumType w:fmt="decimal" w:start="2"/>
          <w:cols w:space="425" w:num="1"/>
          <w:docGrid w:type="lines" w:linePitch="312" w:charSpace="0"/>
        </w:sectPr>
      </w:pPr>
      <w:bookmarkStart w:id="0" w:name="_GoBack"/>
      <w:bookmarkEnd w:id="0"/>
      <w:r>
        <w:rPr>
          <w:rFonts w:hint="eastAsia" w:ascii="仿宋_GB2312" w:eastAsia="仿宋_GB2312" w:cs="仿宋_GB2312"/>
          <w:sz w:val="32"/>
          <w:szCs w:val="32"/>
          <w:lang w:eastAsia="zh-CN"/>
        </w:rPr>
        <w:t>对无劳动能力</w:t>
      </w:r>
      <w:r>
        <w:rPr>
          <w:rFonts w:hint="default" w:ascii="仿宋_GB2312" w:eastAsia="仿宋_GB2312" w:cs="仿宋_GB2312"/>
          <w:sz w:val="32"/>
          <w:szCs w:val="32"/>
          <w:lang w:eastAsia="zh-CN"/>
        </w:rPr>
        <w:t>、</w:t>
      </w:r>
      <w:r>
        <w:rPr>
          <w:rFonts w:hint="eastAsia" w:ascii="仿宋_GB2312" w:eastAsia="仿宋_GB2312" w:cs="仿宋_GB2312"/>
          <w:sz w:val="32"/>
          <w:szCs w:val="32"/>
          <w:lang w:eastAsia="zh-CN"/>
        </w:rPr>
        <w:t>无生活来源</w:t>
      </w:r>
      <w:r>
        <w:rPr>
          <w:rFonts w:hint="default" w:ascii="仿宋_GB2312" w:eastAsia="仿宋_GB2312" w:cs="仿宋_GB2312"/>
          <w:sz w:val="32"/>
          <w:szCs w:val="32"/>
          <w:lang w:eastAsia="zh-CN"/>
        </w:rPr>
        <w:t>、</w:t>
      </w:r>
      <w:r>
        <w:rPr>
          <w:rFonts w:hint="eastAsia" w:ascii="仿宋_GB2312" w:eastAsia="仿宋_GB2312" w:cs="仿宋_GB2312"/>
          <w:sz w:val="32"/>
          <w:szCs w:val="32"/>
          <w:lang w:eastAsia="zh-CN"/>
        </w:rPr>
        <w:t>无赡养人和抚养人，或者其赡养人和抚养人确无赡养和抚养能力的老年人按规定入住的实行全免费政策，不得收取任何费用。</w:t>
      </w:r>
      <w:r>
        <w:rPr>
          <w:rFonts w:hint="eastAsia" w:ascii="仿宋_GB2312" w:eastAsia="仿宋_GB2312" w:cs="仿宋_GB2312"/>
          <w:sz w:val="32"/>
          <w:szCs w:val="32"/>
          <w:lang w:val="en-US" w:eastAsia="zh-CN"/>
        </w:rPr>
        <w:t>敬老院需在确保满足保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障特殊困难老年人的养老服务需求外，仍有空余床位的情况下，对社会开放养老服务。</w:t>
      </w:r>
    </w:p>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上述床位费收费标准为基准价（含护理费），福利院可根据实际情况（物价上涨</w:t>
      </w:r>
      <w:r>
        <w:rPr>
          <w:rFonts w:hint="default" w:ascii="仿宋_GB2312" w:eastAsia="仿宋_GB2312" w:cs="仿宋_GB2312"/>
          <w:sz w:val="32"/>
          <w:szCs w:val="32"/>
          <w:lang w:eastAsia="zh-CN"/>
        </w:rPr>
        <w:t>、</w:t>
      </w:r>
      <w:r>
        <w:rPr>
          <w:rFonts w:hint="eastAsia" w:ascii="仿宋_GB2312" w:eastAsia="仿宋_GB2312" w:cs="仿宋_GB2312"/>
          <w:sz w:val="32"/>
          <w:szCs w:val="32"/>
          <w:lang w:val="en-US" w:eastAsia="zh-CN"/>
        </w:rPr>
        <w:t>人员工资上调等）上下浮动不超过10%。床位费原则上按月度收取</w:t>
      </w:r>
      <w:r>
        <w:rPr>
          <w:rFonts w:hint="eastAsia" w:ascii="仿宋_GB2312" w:hAnsi="宋体" w:eastAsia="仿宋_GB2312" w:cs="宋体"/>
          <w:b w:val="0"/>
          <w:bCs w:val="0"/>
          <w:spacing w:val="12"/>
          <w:sz w:val="32"/>
          <w:szCs w:val="32"/>
          <w:lang w:val="en-US" w:eastAsia="zh-CN"/>
        </w:rPr>
        <w:t>〔</w:t>
      </w:r>
      <w:r>
        <w:rPr>
          <w:rFonts w:hint="eastAsia" w:ascii="仿宋_GB2312" w:eastAsia="仿宋_GB2312" w:cs="仿宋_GB2312"/>
          <w:sz w:val="32"/>
          <w:szCs w:val="32"/>
          <w:lang w:val="en-US" w:eastAsia="zh-CN"/>
        </w:rPr>
        <w:t>15天以内（含15天）按半个月计收，15天以上按一个月计收</w:t>
      </w:r>
      <w:r>
        <w:rPr>
          <w:rFonts w:hint="eastAsia" w:ascii="仿宋_GB2312" w:hAnsi="宋体" w:eastAsia="仿宋_GB2312" w:cs="宋体"/>
          <w:b w:val="0"/>
          <w:bCs w:val="0"/>
          <w:spacing w:val="12"/>
          <w:sz w:val="32"/>
          <w:szCs w:val="32"/>
          <w:lang w:val="en-US" w:eastAsia="zh-CN"/>
        </w:rPr>
        <w:t>〕</w:t>
      </w:r>
      <w:r>
        <w:rPr>
          <w:rFonts w:hint="eastAsia" w:ascii="仿宋_GB2312" w:eastAsia="仿宋_GB2312" w:cs="仿宋_GB2312"/>
          <w:sz w:val="32"/>
          <w:szCs w:val="32"/>
          <w:lang w:val="en-US" w:eastAsia="zh-CN"/>
        </w:rPr>
        <w:t>，一次性收取费用期限最高不得超过一年。</w:t>
      </w:r>
    </w:p>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_GB2312"/>
          <w:sz w:val="32"/>
          <w:szCs w:val="32"/>
          <w:lang w:val="en-US" w:eastAsia="zh-CN"/>
        </w:rPr>
      </w:pPr>
      <w:r>
        <w:rPr>
          <w:rFonts w:hint="eastAsia" w:ascii="仿宋_GB2312" w:hAnsi="仿宋_GB2312" w:eastAsia="仿宋_GB2312" w:cs="仿宋_GB2312"/>
          <w:sz w:val="32"/>
          <w:szCs w:val="32"/>
        </w:rPr>
        <w:t>收费单位须在经营服务场所醒目位置公示收费项目</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收费标准</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收费依据</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投诉举报电话等信息，主动接受价格主管部门</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市场监管部门</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民政部门及社会监督</w:t>
      </w:r>
      <w:r>
        <w:rPr>
          <w:rFonts w:hint="eastAsia" w:ascii="仿宋_GB2312" w:eastAsia="仿宋_GB2312" w:cs="仿宋_GB2312"/>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Times New Roman" w:eastAsia="黑体" w:cs="黑体"/>
          <w:bCs w:val="0"/>
          <w:color w:val="auto"/>
          <w:sz w:val="32"/>
          <w:szCs w:val="32"/>
          <w:lang w:val="en-US" w:eastAsia="zh-CN" w:bidi="ar-SA"/>
        </w:rPr>
      </w:pPr>
      <w:r>
        <w:rPr>
          <w:rFonts w:hint="eastAsia" w:ascii="黑体" w:hAnsi="Times New Roman" w:eastAsia="黑体" w:cs="黑体"/>
          <w:bCs w:val="0"/>
          <w:color w:val="auto"/>
          <w:sz w:val="32"/>
          <w:szCs w:val="32"/>
          <w:lang w:val="en-US" w:eastAsia="zh-CN" w:bidi="ar-SA"/>
        </w:rPr>
        <w:t>三</w:t>
      </w:r>
      <w:r>
        <w:rPr>
          <w:rFonts w:hint="default" w:ascii="黑体" w:hAnsi="Times New Roman" w:eastAsia="黑体" w:cs="黑体"/>
          <w:bCs w:val="0"/>
          <w:color w:val="auto"/>
          <w:sz w:val="32"/>
          <w:szCs w:val="32"/>
          <w:lang w:eastAsia="zh-CN" w:bidi="ar-SA"/>
        </w:rPr>
        <w:t>、</w:t>
      </w:r>
      <w:r>
        <w:rPr>
          <w:rFonts w:hint="eastAsia" w:ascii="黑体" w:hAnsi="Times New Roman" w:eastAsia="黑体" w:cs="黑体"/>
          <w:bCs w:val="0"/>
          <w:color w:val="auto"/>
          <w:sz w:val="32"/>
          <w:szCs w:val="32"/>
          <w:lang w:val="en-US" w:eastAsia="zh-CN" w:bidi="ar-SA"/>
        </w:rPr>
        <w:t>执行时间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本批复自发文之日起</w:t>
      </w:r>
      <w:r>
        <w:rPr>
          <w:rFonts w:hint="default" w:ascii="仿宋_GB2312" w:eastAsia="仿宋_GB2312" w:cs="仿宋_GB2312"/>
          <w:sz w:val="32"/>
          <w:szCs w:val="32"/>
          <w:lang w:eastAsia="zh-CN"/>
        </w:rPr>
        <w:t>执行</w:t>
      </w:r>
      <w:r>
        <w:rPr>
          <w:rFonts w:hint="eastAsia" w:asci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cs="仿宋_GB2312"/>
          <w:sz w:val="32"/>
          <w:szCs w:val="32"/>
          <w:lang w:eastAsia="zh-CN"/>
        </w:rPr>
      </w:pPr>
      <w:r>
        <w:rPr>
          <w:rFonts w:hint="default" w:ascii="仿宋_GB2312" w:eastAsia="仿宋_GB2312" w:cs="仿宋_GB2312"/>
          <w:sz w:val="32"/>
          <w:szCs w:val="32"/>
          <w:lang w:eastAsia="zh-CN"/>
        </w:rPr>
        <w:t>此复。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附件：呼玛县福利院收费项目及标准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right"/>
        <w:textAlignment w:val="auto"/>
        <w:rPr>
          <w:rFonts w:hint="default" w:ascii="仿宋_GB2312" w:eastAsia="仿宋_GB2312" w:cs="仿宋_GB2312"/>
          <w:sz w:val="32"/>
          <w:szCs w:val="32"/>
          <w:lang w:eastAsia="zh-CN"/>
        </w:rPr>
      </w:pPr>
      <w:r>
        <w:rPr>
          <w:rFonts w:hint="default" w:ascii="仿宋_GB2312" w:eastAsia="仿宋_GB2312" w:cs="仿宋_GB2312"/>
          <w:sz w:val="32"/>
          <w:szCs w:val="32"/>
          <w:lang w:eastAsia="zh-CN"/>
        </w:rPr>
        <w:t>黑龙江省</w:t>
      </w:r>
      <w:r>
        <w:rPr>
          <w:rFonts w:hint="eastAsia" w:ascii="仿宋_GB2312" w:eastAsia="仿宋_GB2312" w:cs="仿宋_GB2312"/>
          <w:sz w:val="32"/>
          <w:szCs w:val="32"/>
          <w:lang w:val="en-US" w:eastAsia="zh-CN"/>
        </w:rPr>
        <w:t>大兴安岭地区行政公署</w:t>
      </w:r>
      <w:r>
        <w:rPr>
          <w:rFonts w:hint="default" w:ascii="仿宋_GB2312" w:eastAsia="仿宋_GB2312" w:cs="仿宋_GB2312"/>
          <w:sz w:val="32"/>
          <w:szCs w:val="32"/>
          <w:lang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2026年9月</w:t>
      </w:r>
      <w:r>
        <w:rPr>
          <w:rFonts w:hint="default" w:ascii="仿宋_GB2312" w:eastAsia="仿宋_GB2312" w:cs="仿宋_GB2312"/>
          <w:sz w:val="32"/>
          <w:szCs w:val="32"/>
          <w:lang w:eastAsia="zh-CN"/>
        </w:rPr>
        <w:t>7</w:t>
      </w:r>
      <w:r>
        <w:rPr>
          <w:rFonts w:hint="eastAsia" w:ascii="仿宋_GB2312" w:eastAsia="仿宋_GB2312" w:cs="仿宋_GB2312"/>
          <w:sz w:val="32"/>
          <w:szCs w:val="32"/>
          <w:lang w:val="en-US" w:eastAsia="zh-CN"/>
        </w:rPr>
        <w:t xml:space="preserve">日    </w:t>
      </w:r>
      <w:r>
        <w:rPr>
          <w:rFonts w:hint="default" w:ascii="仿宋_GB2312" w:eastAsia="仿宋_GB2312" w:cs="仿宋_GB2312"/>
          <w:sz w:val="32"/>
          <w:szCs w:val="32"/>
          <w:lang w:eastAsia="zh-CN"/>
        </w:rPr>
        <w:t xml:space="preserve">    </w:t>
      </w:r>
      <w:r>
        <w:rPr>
          <w:rFonts w:hint="eastAsia" w:ascii="仿宋_GB2312" w:eastAsia="仿宋_GB2312" w:cs="仿宋_GB2312"/>
          <w:sz w:val="32"/>
          <w:szCs w:val="32"/>
          <w:lang w:val="en-US" w:eastAsia="zh-CN"/>
        </w:rPr>
        <w:t xml:space="preserve">  </w:t>
      </w:r>
    </w:p>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none" w:color="000000"/>
        </w:rPr>
        <mc:AlternateContent>
          <mc:Choice Requires="wps">
            <w:drawing>
              <wp:anchor distT="0" distB="0" distL="114300" distR="114300" simplePos="0" relativeHeight="251666432" behindDoc="0" locked="0" layoutInCell="1" allowOverlap="1">
                <wp:simplePos x="0" y="0"/>
                <wp:positionH relativeFrom="column">
                  <wp:posOffset>-88900</wp:posOffset>
                </wp:positionH>
                <wp:positionV relativeFrom="paragraph">
                  <wp:posOffset>389890</wp:posOffset>
                </wp:positionV>
                <wp:extent cx="5715000" cy="635"/>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715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7pt;margin-top:30.7pt;height:0.05pt;width:450pt;z-index:251666432;mso-width-relative:page;mso-height-relative:page;" filled="f" stroked="t" coordsize="21600,21600" o:gfxdata="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jVF4ANcAAAAJAQAADwAAAAAAAAABACAAAAA4AAAAZHJzL2Rvd25yZXYueG1sUEsBAhQA&#10;FAAAAAgAh07iQHh56a/dAQAAnQMAAA4AAAAAAAAAAQAgAAAAPAEAAGRycy9lMm9Eb2MueG1sUEsF&#10;BgAAAAAGAAYAWQEAAIsFAAAAAA==&#10;">
                <v:fill on="f" focussize="0,0"/>
                <v:stroke color="#000000" joinstyle="round"/>
                <v:imagedata o:title=""/>
                <o:lock v:ext="edit" aspectratio="f"/>
              </v:line>
            </w:pict>
          </mc:Fallback>
        </mc:AlternateContent>
      </w:r>
      <w:r>
        <w:rPr>
          <w:rFonts w:hint="eastAsia" w:ascii="仿宋_GB2312" w:hAnsi="仿宋_GB2312" w:eastAsia="仿宋_GB2312" w:cs="仿宋_GB2312"/>
          <w:b w:val="0"/>
          <w:bCs w:val="0"/>
          <w:sz w:val="28"/>
          <w:szCs w:val="28"/>
          <w:u w:val="none" w:color="000000"/>
        </w:rPr>
        <mc:AlternateContent>
          <mc:Choice Requires="wps">
            <w:drawing>
              <wp:anchor distT="0" distB="0" distL="114300" distR="114300" simplePos="0" relativeHeight="251665408" behindDoc="0" locked="0" layoutInCell="1" allowOverlap="1">
                <wp:simplePos x="0" y="0"/>
                <wp:positionH relativeFrom="column">
                  <wp:posOffset>-89535</wp:posOffset>
                </wp:positionH>
                <wp:positionV relativeFrom="paragraph">
                  <wp:posOffset>17780</wp:posOffset>
                </wp:positionV>
                <wp:extent cx="5715000"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57150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7.05pt;margin-top:1.4pt;height:0.05pt;width:450pt;z-index:251665408;mso-width-relative:page;mso-height-relative:page;" filled="f" stroked="t" coordsize="21600,21600" o:gfxdata="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B82MhbVAAAABwEAAA8AAAAAAAAAAQAgAAAAOAAAAGRycy9kb3ducmV2LnhtbFBLAQIUABQA&#10;AAAIAIdO4kCIOnIi3QEAAJsDAAAOAAAAAAAAAAEAIAAAADoBAABkcnMvZTJvRG9jLnhtbFBLBQYA&#10;AAAABgAGAFkBAACJBQAAAAA=&#10;">
                <v:fill on="f" focussize="0,0"/>
                <v:stroke color="#000000" joinstyle="round"/>
                <v:imagedata o:title=""/>
                <o:lock v:ext="edit" aspectratio="f"/>
              </v:line>
            </w:pict>
          </mc:Fallback>
        </mc:AlternateContent>
      </w:r>
      <w:r>
        <w:rPr>
          <w:rFonts w:hint="eastAsia" w:ascii="仿宋_GB2312" w:hAnsi="仿宋_GB2312" w:eastAsia="仿宋_GB2312" w:cs="仿宋_GB2312"/>
          <w:b w:val="0"/>
          <w:bCs w:val="0"/>
          <w:sz w:val="28"/>
          <w:szCs w:val="28"/>
        </w:rPr>
        <w:t>大兴安岭地区行署办</w:t>
      </w:r>
      <w:r>
        <w:rPr>
          <w:rFonts w:hint="eastAsia" w:ascii="仿宋_GB2312" w:hAnsi="仿宋_GB2312" w:eastAsia="仿宋_GB2312" w:cs="仿宋_GB2312"/>
          <w:b w:val="0"/>
          <w:bCs w:val="0"/>
          <w:sz w:val="28"/>
          <w:szCs w:val="28"/>
          <w:lang w:eastAsia="zh-CN"/>
        </w:rPr>
        <w:t>公室</w:t>
      </w: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lang w:val="en-US" w:eastAsia="zh-CN"/>
        </w:rPr>
        <w:t xml:space="preserve">  </w:t>
      </w:r>
      <w:r>
        <w:rPr>
          <w:rFonts w:hint="default" w:ascii="仿宋_GB2312" w:hAnsi="仿宋_GB2312" w:eastAsia="仿宋_GB2312" w:cs="仿宋_GB2312"/>
          <w:b w:val="0"/>
          <w:bCs w:val="0"/>
          <w:sz w:val="28"/>
          <w:szCs w:val="28"/>
          <w:lang w:eastAsia="zh-CN"/>
        </w:rPr>
        <w:t xml:space="preserve"> </w:t>
      </w: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 xml:space="preserve">   </w:t>
      </w:r>
      <w:r>
        <w:rPr>
          <w:rFonts w:hint="default"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lang w:val="en-US" w:eastAsia="zh-CN"/>
        </w:rPr>
        <w:t xml:space="preserve">   202</w:t>
      </w:r>
      <w:r>
        <w:rPr>
          <w:rFonts w:hint="default" w:ascii="仿宋_GB2312" w:hAnsi="仿宋_GB2312" w:eastAsia="仿宋_GB2312" w:cs="仿宋_GB2312"/>
          <w:b w:val="0"/>
          <w:bCs w:val="0"/>
          <w:sz w:val="28"/>
          <w:szCs w:val="28"/>
          <w:lang w:eastAsia="zh-CN"/>
        </w:rPr>
        <w:t>6</w:t>
      </w:r>
      <w:r>
        <w:rPr>
          <w:rFonts w:hint="eastAsia" w:ascii="仿宋_GB2312" w:hAnsi="仿宋_GB2312" w:eastAsia="仿宋_GB2312" w:cs="仿宋_GB2312"/>
          <w:b w:val="0"/>
          <w:bCs w:val="0"/>
          <w:sz w:val="28"/>
          <w:szCs w:val="28"/>
        </w:rPr>
        <w:t>年</w:t>
      </w:r>
      <w:r>
        <w:rPr>
          <w:rFonts w:hint="default" w:ascii="仿宋_GB2312" w:hAnsi="仿宋_GB2312" w:eastAsia="仿宋_GB2312" w:cs="仿宋_GB2312"/>
          <w:b w:val="0"/>
          <w:bCs w:val="0"/>
          <w:sz w:val="28"/>
          <w:szCs w:val="28"/>
        </w:rPr>
        <w:t>9</w:t>
      </w:r>
      <w:r>
        <w:rPr>
          <w:rFonts w:hint="eastAsia" w:ascii="仿宋_GB2312" w:hAnsi="仿宋_GB2312" w:eastAsia="仿宋_GB2312" w:cs="仿宋_GB2312"/>
          <w:b w:val="0"/>
          <w:bCs w:val="0"/>
          <w:sz w:val="28"/>
          <w:szCs w:val="28"/>
        </w:rPr>
        <w:t>月</w:t>
      </w:r>
      <w:r>
        <w:rPr>
          <w:rFonts w:hint="default" w:ascii="仿宋_GB2312" w:hAnsi="仿宋_GB2312" w:eastAsia="仿宋_GB2312" w:cs="仿宋_GB2312"/>
          <w:b w:val="0"/>
          <w:bCs w:val="0"/>
          <w:sz w:val="28"/>
          <w:szCs w:val="28"/>
        </w:rPr>
        <w:t>7</w:t>
      </w:r>
      <w:r>
        <w:rPr>
          <w:rFonts w:hint="eastAsia" w:ascii="仿宋_GB2312" w:hAnsi="仿宋_GB2312" w:eastAsia="仿宋_GB2312" w:cs="仿宋_GB2312"/>
          <w:b w:val="0"/>
          <w:bCs w:val="0"/>
          <w:sz w:val="28"/>
          <w:szCs w:val="28"/>
        </w:rPr>
        <w:t>日印发</w:t>
      </w:r>
    </w:p>
    <w:p>
      <w:pPr>
        <w:pStyle w:val="2"/>
        <w:rPr>
          <w:rFonts w:hint="eastAsia" w:ascii="仿宋_GB2312" w:hAnsi="仿宋_GB2312" w:eastAsia="仿宋_GB2312" w:cs="仿宋_GB2312"/>
          <w:b w:val="0"/>
          <w:bCs w:val="0"/>
          <w:sz w:val="28"/>
          <w:szCs w:val="28"/>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jc w:val="center"/>
        <w:rPr>
          <w:rFonts w:hint="eastAsia" w:ascii="方正小标宋简体" w:hAnsi="方正小标宋简体" w:eastAsia="方正小标宋简体" w:cs="方正小标宋简体"/>
          <w:sz w:val="44"/>
          <w:szCs w:val="44"/>
          <w:vertAlign w:val="baseline"/>
          <w:lang w:val="en-US" w:eastAsia="zh-CN"/>
        </w:rPr>
      </w:pPr>
      <w:r>
        <w:rPr>
          <w:rFonts w:hint="eastAsia" w:ascii="方正小标宋简体" w:hAnsi="方正小标宋简体" w:eastAsia="方正小标宋简体" w:cs="方正小标宋简体"/>
          <w:sz w:val="44"/>
          <w:szCs w:val="44"/>
          <w:vertAlign w:val="baseline"/>
          <w:lang w:val="en-US" w:eastAsia="zh-CN"/>
        </w:rPr>
        <w:t>呼玛县福利院收费项目及标准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vertAlign w:val="baseline"/>
          <w:lang w:val="en-US"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963"/>
        <w:gridCol w:w="3512"/>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失能等级</w:t>
            </w:r>
          </w:p>
        </w:tc>
        <w:tc>
          <w:tcPr>
            <w:tcW w:w="1963"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分级依据</w:t>
            </w:r>
          </w:p>
        </w:tc>
        <w:tc>
          <w:tcPr>
            <w:tcW w:w="3512"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服务内容</w:t>
            </w:r>
          </w:p>
        </w:tc>
        <w:tc>
          <w:tcPr>
            <w:tcW w:w="154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床位费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trPr>
        <w:tc>
          <w:tcPr>
            <w:tcW w:w="15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自理</w:t>
            </w:r>
          </w:p>
        </w:tc>
        <w:tc>
          <w:tcPr>
            <w:tcW w:w="19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身体健康状况良好，日常生活可自理，可独立完成室内和室外活动者</w:t>
            </w:r>
          </w:p>
        </w:tc>
        <w:tc>
          <w:tcPr>
            <w:tcW w:w="351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1</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打扫室内卫生；2</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室内消毒；3</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定期更换清洗床单被罩；4</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定期清洗外衣；5</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打水；6</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测血压</w:t>
            </w:r>
          </w:p>
        </w:tc>
        <w:tc>
          <w:tcPr>
            <w:tcW w:w="154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双人间1800元</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月</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人</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三人间1600元</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月</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半自理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轻度失能</w:t>
            </w:r>
          </w:p>
        </w:tc>
        <w:tc>
          <w:tcPr>
            <w:tcW w:w="19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健康状况一般，日常生活能力部分受限，能独立完成短距离和短时间的室外活动，认知能力轻度受限，有一种慢性疾病</w:t>
            </w:r>
          </w:p>
        </w:tc>
        <w:tc>
          <w:tcPr>
            <w:tcW w:w="351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1</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打扫室内卫生；2</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室内消毒；3</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定期更换清洗床单被罩；4</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定期清洗衣物；5</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打水；6</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整理床单；7</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打倒洗脸</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洗脚水；8</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提醒服药；9</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送饭</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送药</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洗水果；10</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清洗餐具；11</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测血压；12</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检查过期食物</w:t>
            </w:r>
          </w:p>
        </w:tc>
        <w:tc>
          <w:tcPr>
            <w:tcW w:w="154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双人间2300元</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月</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人</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三人间2100元</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月</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6" w:hRule="atLeast"/>
        </w:trPr>
        <w:tc>
          <w:tcPr>
            <w:tcW w:w="15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不能自理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重度失能</w:t>
            </w:r>
          </w:p>
        </w:tc>
        <w:tc>
          <w:tcPr>
            <w:tcW w:w="196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健康状况较差，日常生活能力严重受限，生活大部分需要护理人员完成，可自行进食，自行变换卧位，大便或小便失禁</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认知障碍</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沟通障碍</w:t>
            </w:r>
          </w:p>
        </w:tc>
        <w:tc>
          <w:tcPr>
            <w:tcW w:w="351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1</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打扫室内卫生；2</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室内消毒；3</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随时更换清洗床单被罩；4</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随时清洗衣物；5</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打水；6</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整理床单</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衣柜；7</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洗头</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洗脸</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洗脚</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洗澡；8</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协助如厕</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清理排泄物；9</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送饭</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倒水</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洗水果；10</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服药到口；11</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清洗餐具</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水杯；12</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测血压；13</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检查过期食物；14</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口腔清洁；15</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皮肤清洁；16</w:t>
            </w:r>
            <w:r>
              <w:rPr>
                <w:rFonts w:hint="default" w:ascii="仿宋_GB2312" w:eastAsia="仿宋_GB2312" w:cs="仿宋_GB2312"/>
                <w:sz w:val="21"/>
                <w:szCs w:val="21"/>
                <w:vertAlign w:val="baseline"/>
                <w:lang w:eastAsia="zh-CN"/>
              </w:rPr>
              <w:t>.</w:t>
            </w:r>
            <w:r>
              <w:rPr>
                <w:rFonts w:hint="eastAsia" w:ascii="仿宋_GB2312" w:eastAsia="仿宋_GB2312" w:cs="仿宋_GB2312"/>
                <w:sz w:val="21"/>
                <w:szCs w:val="21"/>
                <w:vertAlign w:val="baseline"/>
                <w:lang w:val="en-US" w:eastAsia="zh-CN"/>
              </w:rPr>
              <w:t>体位转移</w:t>
            </w:r>
          </w:p>
        </w:tc>
        <w:tc>
          <w:tcPr>
            <w:tcW w:w="154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双人间2800元</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月</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人</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eastAsia="仿宋_GB2312" w:cs="仿宋_GB2312"/>
                <w:sz w:val="21"/>
                <w:szCs w:val="21"/>
                <w:vertAlign w:val="baseline"/>
                <w:lang w:val="en-US" w:eastAsia="zh-CN"/>
              </w:rPr>
            </w:pPr>
            <w:r>
              <w:rPr>
                <w:rFonts w:hint="eastAsia" w:ascii="仿宋_GB2312" w:eastAsia="仿宋_GB2312" w:cs="仿宋_GB2312"/>
                <w:sz w:val="21"/>
                <w:szCs w:val="21"/>
                <w:vertAlign w:val="baseline"/>
                <w:lang w:val="en-US" w:eastAsia="zh-CN"/>
              </w:rPr>
              <w:t>三人间2600元</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月</w:t>
            </w:r>
            <w:r>
              <w:rPr>
                <w:rFonts w:hint="default" w:ascii="仿宋_GB2312" w:eastAsia="仿宋_GB2312" w:cs="仿宋_GB2312"/>
                <w:sz w:val="21"/>
                <w:szCs w:val="21"/>
                <w:vertAlign w:val="baseline"/>
                <w:lang w:val="en-US" w:eastAsia="zh-CN"/>
              </w:rPr>
              <w:t>/</w:t>
            </w:r>
            <w:r>
              <w:rPr>
                <w:rFonts w:hint="eastAsia" w:ascii="仿宋_GB2312" w:eastAsia="仿宋_GB2312" w:cs="仿宋_GB2312"/>
                <w:sz w:val="21"/>
                <w:szCs w:val="21"/>
                <w:vertAlign w:val="baseline"/>
                <w:lang w:val="en-US" w:eastAsia="zh-CN"/>
              </w:rPr>
              <w:t>人</w:t>
            </w:r>
          </w:p>
        </w:tc>
      </w:tr>
    </w:tbl>
    <w:p>
      <w:pPr>
        <w:rPr>
          <w:rFonts w:hint="default"/>
          <w:lang w:val="en-US" w:eastAsia="zh-CN"/>
        </w:rPr>
      </w:pPr>
    </w:p>
    <w:sectPr>
      <w:footerReference r:id="rId4" w:type="default"/>
      <w:pgSz w:w="11906" w:h="16838"/>
      <w:pgMar w:top="2098" w:right="1474" w:bottom="198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09" w:lineRule="exact"/>
      <w:rPr>
        <w:rFonts w:ascii="仿宋" w:hAnsi="仿宋" w:eastAsia="仿宋" w:cs="仿宋"/>
        <w:sz w:val="31"/>
        <w:szCs w:val="31"/>
      </w:rPr>
    </w:pPr>
    <w:r>
      <w:rPr>
        <w:sz w:val="31"/>
      </w:rPr>
      <mc:AlternateContent>
        <mc:Choice Requires="wps">
          <w:drawing>
            <wp:anchor distT="0" distB="0" distL="114300" distR="114300" simplePos="0" relativeHeight="251922432" behindDoc="0" locked="0" layoutInCell="1" allowOverlap="1">
              <wp:simplePos x="0" y="0"/>
              <wp:positionH relativeFrom="margin">
                <wp:posOffset>30480</wp:posOffset>
              </wp:positionH>
              <wp:positionV relativeFrom="paragraph">
                <wp:posOffset>-250190</wp:posOffset>
              </wp:positionV>
              <wp:extent cx="518795" cy="403225"/>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518795" cy="403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eastAsiaTheme="minorEastAsia"/>
                              <w:lang w:val="en-US" w:eastAsia="zh-CN"/>
                            </w:rPr>
                          </w:pPr>
                          <w:r>
                            <w:rPr>
                              <w:rFonts w:hint="eastAsia"/>
                              <w:lang w:val="en-US" w:eastAsia="zh-CN"/>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2.4pt;margin-top:-19.7pt;height:31.75pt;width:40.85pt;mso-position-horizontal-relative:margin;z-index:251922432;mso-width-relative:page;mso-height-relative:page;" filled="f" stroked="f" coordsize="21600,21600" o:gfxdata="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n68jdYAAAAHAQAADwAAAAAAAAABACAAAAA4AAAAZHJzL2Rvd25y&#10;ZXYueG1sUEsBAhQAFAAAAAgAh07iQGKBWZYjAgAAKwQAAA4AAAAAAAAAAQAgAAAAOwEAAGRycy9l&#10;Mm9Eb2MueG1sUEsFBgAAAAAGAAYAWQEAANAFAAAAAA==&#10;">
              <v:fill on="f" focussize="0,0"/>
              <v:stroke on="f" weight="0.5pt"/>
              <v:imagedata o:title=""/>
              <o:lock v:ext="edit" aspectratio="f"/>
              <v:textbox inset="0mm,0mm,0mm,0mm">
                <w:txbxContent>
                  <w:p>
                    <w:pPr>
                      <w:pStyle w:val="2"/>
                      <w:rPr>
                        <w:rFonts w:hint="default" w:eastAsiaTheme="minorEastAsia"/>
                        <w:lang w:val="en-US" w:eastAsia="zh-CN"/>
                      </w:rPr>
                    </w:pPr>
                    <w:r>
                      <w:rPr>
                        <w:rFonts w:hint="eastAsia"/>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09" w:lineRule="exact"/>
      <w:rPr>
        <w:rFonts w:ascii="仿宋" w:hAnsi="仿宋" w:eastAsia="仿宋" w:cs="仿宋"/>
        <w:sz w:val="31"/>
        <w:szCs w:val="31"/>
      </w:rPr>
    </w:pPr>
    <w:r>
      <w:rPr>
        <w:sz w:val="31"/>
      </w:rPr>
      <mc:AlternateContent>
        <mc:Choice Requires="wps">
          <w:drawing>
            <wp:anchor distT="0" distB="0" distL="114300" distR="114300" simplePos="0" relativeHeight="252189696" behindDoc="0" locked="0" layoutInCell="1" allowOverlap="1">
              <wp:simplePos x="0" y="0"/>
              <wp:positionH relativeFrom="margin">
                <wp:align>outside</wp:align>
              </wp:positionH>
              <wp:positionV relativeFrom="paragraph">
                <wp:posOffset>-196215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5.45pt;height:144pt;width:144pt;mso-position-horizontal:outside;mso-position-horizontal-relative:margin;mso-wrap-style:none;z-index:252189696;mso-width-relative:page;mso-height-relative:page;" filled="f" stroked="f" coordsize="21600,21600" o:gfxdata="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TtI4Q9YAAAAIAQAADwAAAAAAAAABACAAAAA4AAAAZHJzL2Rvd25yZXYueG1s&#10;UEsBAhQAFAAAAAgAh07iQIDxM9IdAgAAKQQAAA4AAAAAAAAAAQAgAAAAOwEAAGRycy9lMm9Eb2Mu&#10;eG1sUEsFBgAAAAAGAAYAWQEAAMoFA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r>
      <w:rPr>
        <w:sz w:val="31"/>
      </w:rPr>
      <mc:AlternateContent>
        <mc:Choice Requires="wps">
          <w:drawing>
            <wp:anchor distT="0" distB="0" distL="114300" distR="114300" simplePos="0" relativeHeight="252188672" behindDoc="0" locked="0" layoutInCell="1" allowOverlap="1">
              <wp:simplePos x="0" y="0"/>
              <wp:positionH relativeFrom="margin">
                <wp:posOffset>30480</wp:posOffset>
              </wp:positionH>
              <wp:positionV relativeFrom="paragraph">
                <wp:posOffset>-250190</wp:posOffset>
              </wp:positionV>
              <wp:extent cx="518795" cy="403225"/>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518795" cy="403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eastAsiaTheme="minorEastAsia"/>
                              <w:lang w:val="en-US" w:eastAsia="zh-CN"/>
                            </w:rPr>
                          </w:pPr>
                          <w:r>
                            <w:rPr>
                              <w:rFonts w:hint="eastAsia"/>
                              <w:lang w:val="en-US" w:eastAsia="zh-CN"/>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2.4pt;margin-top:-19.7pt;height:31.75pt;width:40.85pt;mso-position-horizontal-relative:margin;z-index:252188672;mso-width-relative:page;mso-height-relative:page;" filled="f" stroked="f" coordsize="21600,21600" o:gfxdata="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n68jdYAAAAHAQAADwAAAAAAAAABACAAAAA4AAAAZHJzL2Rvd25y&#10;ZXYueG1sUEsBAhQAFAAAAAgAh07iQLXBA4gjAgAAKwQAAA4AAAAAAAAAAQAgAAAAOwEAAGRycy9l&#10;Mm9Eb2MueG1sUEsFBgAAAAAGAAYAWQEAANAFAAAAAA==&#10;">
              <v:fill on="f" focussize="0,0"/>
              <v:stroke on="f" weight="0.5pt"/>
              <v:imagedata o:title=""/>
              <o:lock v:ext="edit" aspectratio="f"/>
              <v:textbox inset="0mm,0mm,0mm,0mm">
                <w:txbxContent>
                  <w:p>
                    <w:pPr>
                      <w:pStyle w:val="2"/>
                      <w:rPr>
                        <w:rFonts w:hint="default" w:eastAsiaTheme="minorEastAsia"/>
                        <w:lang w:val="en-US" w:eastAsia="zh-CN"/>
                      </w:rPr>
                    </w:pPr>
                    <w:r>
                      <w:rPr>
                        <w:rFonts w:hint="eastAsia"/>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AF674"/>
    <w:multiLevelType w:val="singleLevel"/>
    <w:tmpl w:val="FF7AF67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1MWYyZjM0MGVmOWJkMTY3OWUzMjIyNWM0YWFmMzEifQ=="/>
  </w:docVars>
  <w:rsids>
    <w:rsidRoot w:val="519F1114"/>
    <w:rsid w:val="00766354"/>
    <w:rsid w:val="04487067"/>
    <w:rsid w:val="070D3824"/>
    <w:rsid w:val="08855EA9"/>
    <w:rsid w:val="0A3851CE"/>
    <w:rsid w:val="0BCD50E1"/>
    <w:rsid w:val="0E270571"/>
    <w:rsid w:val="0EBE4F11"/>
    <w:rsid w:val="10601025"/>
    <w:rsid w:val="11883E53"/>
    <w:rsid w:val="13507C4D"/>
    <w:rsid w:val="138F0B1F"/>
    <w:rsid w:val="139525D9"/>
    <w:rsid w:val="16FA09A5"/>
    <w:rsid w:val="173870B1"/>
    <w:rsid w:val="18805260"/>
    <w:rsid w:val="197E5AC5"/>
    <w:rsid w:val="1A563640"/>
    <w:rsid w:val="1B0C0A88"/>
    <w:rsid w:val="1B485BA7"/>
    <w:rsid w:val="1BB05BB9"/>
    <w:rsid w:val="1D602D56"/>
    <w:rsid w:val="1E3D5D47"/>
    <w:rsid w:val="1E7E3BC8"/>
    <w:rsid w:val="1F2121D3"/>
    <w:rsid w:val="1F3025CC"/>
    <w:rsid w:val="1F546F50"/>
    <w:rsid w:val="20240A94"/>
    <w:rsid w:val="220A3A35"/>
    <w:rsid w:val="22A35694"/>
    <w:rsid w:val="22D623DA"/>
    <w:rsid w:val="237B69CA"/>
    <w:rsid w:val="25FA5EE8"/>
    <w:rsid w:val="26887D7C"/>
    <w:rsid w:val="28355CE1"/>
    <w:rsid w:val="29862A38"/>
    <w:rsid w:val="2B344126"/>
    <w:rsid w:val="2C5E51BB"/>
    <w:rsid w:val="2CFAECC2"/>
    <w:rsid w:val="2E331933"/>
    <w:rsid w:val="2E8A57EA"/>
    <w:rsid w:val="2F581430"/>
    <w:rsid w:val="2FFDD749"/>
    <w:rsid w:val="2FFF2CEE"/>
    <w:rsid w:val="2FFF60B6"/>
    <w:rsid w:val="30121DEE"/>
    <w:rsid w:val="31800C17"/>
    <w:rsid w:val="31950990"/>
    <w:rsid w:val="331C6CDA"/>
    <w:rsid w:val="33A64101"/>
    <w:rsid w:val="36CF5679"/>
    <w:rsid w:val="36FF3A83"/>
    <w:rsid w:val="38C60FFD"/>
    <w:rsid w:val="39003169"/>
    <w:rsid w:val="3A0F69B6"/>
    <w:rsid w:val="3A7F4B06"/>
    <w:rsid w:val="3B9E0B07"/>
    <w:rsid w:val="3BB940F8"/>
    <w:rsid w:val="3BCBDFBA"/>
    <w:rsid w:val="3C1513FA"/>
    <w:rsid w:val="3CE31C11"/>
    <w:rsid w:val="3D205262"/>
    <w:rsid w:val="3EBFCB54"/>
    <w:rsid w:val="3F7FC9D0"/>
    <w:rsid w:val="40155F72"/>
    <w:rsid w:val="42131118"/>
    <w:rsid w:val="43CFDF6B"/>
    <w:rsid w:val="44250560"/>
    <w:rsid w:val="448A6B79"/>
    <w:rsid w:val="44C45FCB"/>
    <w:rsid w:val="483A63D2"/>
    <w:rsid w:val="49397A24"/>
    <w:rsid w:val="4B823782"/>
    <w:rsid w:val="4C0309E6"/>
    <w:rsid w:val="4DC5711D"/>
    <w:rsid w:val="4E380879"/>
    <w:rsid w:val="4E915170"/>
    <w:rsid w:val="4EB66FD8"/>
    <w:rsid w:val="4FC60E49"/>
    <w:rsid w:val="519F1114"/>
    <w:rsid w:val="525A21D0"/>
    <w:rsid w:val="52795D32"/>
    <w:rsid w:val="52DF95B7"/>
    <w:rsid w:val="52FF5F8B"/>
    <w:rsid w:val="53FDF41F"/>
    <w:rsid w:val="543839BE"/>
    <w:rsid w:val="548051B1"/>
    <w:rsid w:val="5559450E"/>
    <w:rsid w:val="561F417C"/>
    <w:rsid w:val="569357FD"/>
    <w:rsid w:val="56FC3B73"/>
    <w:rsid w:val="58A727BF"/>
    <w:rsid w:val="593A0E1B"/>
    <w:rsid w:val="59D83A25"/>
    <w:rsid w:val="5BFE0957"/>
    <w:rsid w:val="5DBEE54B"/>
    <w:rsid w:val="5EC0115A"/>
    <w:rsid w:val="5F25DFB3"/>
    <w:rsid w:val="5FDB3EC1"/>
    <w:rsid w:val="5FF81680"/>
    <w:rsid w:val="604F6C39"/>
    <w:rsid w:val="60A92A6A"/>
    <w:rsid w:val="60D65160"/>
    <w:rsid w:val="61C40F61"/>
    <w:rsid w:val="640F0BB9"/>
    <w:rsid w:val="67ABE312"/>
    <w:rsid w:val="6AA05BF2"/>
    <w:rsid w:val="6D6A3304"/>
    <w:rsid w:val="6D6F89BB"/>
    <w:rsid w:val="6E1F58A5"/>
    <w:rsid w:val="6EA14B04"/>
    <w:rsid w:val="6EEE17DC"/>
    <w:rsid w:val="6EFE7023"/>
    <w:rsid w:val="6F297204"/>
    <w:rsid w:val="6FD5473A"/>
    <w:rsid w:val="712A3123"/>
    <w:rsid w:val="71FF23E1"/>
    <w:rsid w:val="71FF7054"/>
    <w:rsid w:val="72435ED2"/>
    <w:rsid w:val="72B1108D"/>
    <w:rsid w:val="732B471B"/>
    <w:rsid w:val="74C218BA"/>
    <w:rsid w:val="74EB2C86"/>
    <w:rsid w:val="75EE607A"/>
    <w:rsid w:val="760C32EE"/>
    <w:rsid w:val="76A834CD"/>
    <w:rsid w:val="795124C5"/>
    <w:rsid w:val="797D616D"/>
    <w:rsid w:val="7A76298D"/>
    <w:rsid w:val="7B193F76"/>
    <w:rsid w:val="7B75B174"/>
    <w:rsid w:val="7BC57958"/>
    <w:rsid w:val="7BF33008"/>
    <w:rsid w:val="7BFF25DB"/>
    <w:rsid w:val="7BFFE3B9"/>
    <w:rsid w:val="7CE45676"/>
    <w:rsid w:val="7CEF723D"/>
    <w:rsid w:val="7D67CED4"/>
    <w:rsid w:val="7DF700C9"/>
    <w:rsid w:val="7DFE5584"/>
    <w:rsid w:val="7E5F26BC"/>
    <w:rsid w:val="7E5F3F6A"/>
    <w:rsid w:val="7E6C620A"/>
    <w:rsid w:val="7EEB1B16"/>
    <w:rsid w:val="7F7F1B02"/>
    <w:rsid w:val="7F9B17BB"/>
    <w:rsid w:val="7FAA39CD"/>
    <w:rsid w:val="7FCFE05D"/>
    <w:rsid w:val="7FD83651"/>
    <w:rsid w:val="7FE598B2"/>
    <w:rsid w:val="7FF73B7C"/>
    <w:rsid w:val="7FFB8F11"/>
    <w:rsid w:val="7FFCFC09"/>
    <w:rsid w:val="8B7B0DC6"/>
    <w:rsid w:val="8DEBD44A"/>
    <w:rsid w:val="9FF7EC08"/>
    <w:rsid w:val="A7330D80"/>
    <w:rsid w:val="A76FF63D"/>
    <w:rsid w:val="AF59AE92"/>
    <w:rsid w:val="AFFB8BF8"/>
    <w:rsid w:val="B3D52465"/>
    <w:rsid w:val="B4FF4BC8"/>
    <w:rsid w:val="B55688E7"/>
    <w:rsid w:val="B6F52494"/>
    <w:rsid w:val="BBEF8777"/>
    <w:rsid w:val="BDFE7DAC"/>
    <w:rsid w:val="BEDDF9FC"/>
    <w:rsid w:val="BEDF872D"/>
    <w:rsid w:val="E0E5DE26"/>
    <w:rsid w:val="E7E746E7"/>
    <w:rsid w:val="E8DBCF7A"/>
    <w:rsid w:val="EADF41FD"/>
    <w:rsid w:val="EF589A31"/>
    <w:rsid w:val="F0BE44FE"/>
    <w:rsid w:val="F36B23E2"/>
    <w:rsid w:val="F69D88E5"/>
    <w:rsid w:val="F77FA0C6"/>
    <w:rsid w:val="F7BBCD7D"/>
    <w:rsid w:val="F7FC53C7"/>
    <w:rsid w:val="F7FF3861"/>
    <w:rsid w:val="F7FFA232"/>
    <w:rsid w:val="F9D124AF"/>
    <w:rsid w:val="FAA5FF50"/>
    <w:rsid w:val="FBB236B4"/>
    <w:rsid w:val="FBBDCF22"/>
    <w:rsid w:val="FCA368CA"/>
    <w:rsid w:val="FD4D0756"/>
    <w:rsid w:val="FDFF4D63"/>
    <w:rsid w:val="FE33B6CA"/>
    <w:rsid w:val="FEB31D9E"/>
    <w:rsid w:val="FEFFD495"/>
    <w:rsid w:val="FF263B2C"/>
    <w:rsid w:val="FF6FB4B5"/>
    <w:rsid w:val="FF9ED3FE"/>
    <w:rsid w:val="FFFE38F6"/>
    <w:rsid w:val="FFFE72DE"/>
    <w:rsid w:val="FFFECB60"/>
    <w:rsid w:val="FFFFC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方正小标宋简体" w:asciiTheme="minorHAnsi" w:hAnsiTheme="minorHAnsi" w:eastAsiaTheme="minorEastAsia"/>
      <w:kern w:val="13"/>
      <w:sz w:val="52"/>
      <w:szCs w:val="5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9"/>
    <w:pPr>
      <w:keepNext/>
      <w:keepLines/>
      <w:widowControl/>
      <w:spacing w:before="260" w:after="260" w:line="416" w:lineRule="auto"/>
      <w:jc w:val="left"/>
      <w:outlineLvl w:val="1"/>
    </w:pPr>
    <w:rPr>
      <w:rFonts w:ascii="等线 Light" w:hAnsi="等线 Light" w:eastAsia="等线 Light"/>
      <w:b/>
      <w:bCs/>
      <w:kern w:val="0"/>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rPr>
  </w:style>
  <w:style w:type="paragraph" w:styleId="5">
    <w:name w:val="table of authorities"/>
    <w:basedOn w:val="1"/>
    <w:next w:val="1"/>
    <w:qFormat/>
    <w:uiPriority w:val="0"/>
    <w:pPr>
      <w:ind w:left="420" w:leftChars="200"/>
    </w:pPr>
  </w:style>
  <w:style w:type="paragraph" w:styleId="6">
    <w:name w:val="Normal Indent"/>
    <w:basedOn w:val="1"/>
    <w:qFormat/>
    <w:uiPriority w:val="0"/>
    <w:pPr>
      <w:ind w:firstLine="630"/>
    </w:pPr>
    <w:rPr>
      <w:kern w:val="0"/>
    </w:rPr>
  </w:style>
  <w:style w:type="paragraph" w:styleId="7">
    <w:name w:val="Body Text"/>
    <w:basedOn w:val="1"/>
    <w:next w:val="8"/>
    <w:semiHidden/>
    <w:unhideWhenUsed/>
    <w:qFormat/>
    <w:uiPriority w:val="99"/>
    <w:pPr>
      <w:spacing w:after="120"/>
    </w:pPr>
  </w:style>
  <w:style w:type="paragraph" w:styleId="8">
    <w:name w:val="Date"/>
    <w:basedOn w:val="1"/>
    <w:next w:val="1"/>
    <w:qFormat/>
    <w:uiPriority w:val="0"/>
    <w:pPr>
      <w:ind w:left="100" w:leftChars="2500"/>
    </w:pPr>
    <w:rPr>
      <w:rFonts w:ascii="Times New Roman" w:hAnsi="Times New Roman" w:eastAsia="宋体" w:cs="Times New Roman"/>
    </w:rPr>
  </w:style>
  <w:style w:type="paragraph" w:styleId="9">
    <w:name w:val="Body Text Indent"/>
    <w:basedOn w:val="1"/>
    <w:qFormat/>
    <w:uiPriority w:val="0"/>
    <w:pPr>
      <w:spacing w:after="120"/>
      <w:ind w:left="420" w:leftChars="200"/>
    </w:p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2">
    <w:name w:val="Body Text First Indent"/>
    <w:basedOn w:val="7"/>
    <w:next w:val="1"/>
    <w:qFormat/>
    <w:uiPriority w:val="0"/>
    <w:pPr>
      <w:tabs>
        <w:tab w:val="left" w:pos="3972"/>
      </w:tabs>
      <w:spacing w:after="0" w:afterLines="0" w:line="588" w:lineRule="exact"/>
      <w:ind w:firstLine="880" w:firstLineChars="200"/>
    </w:pPr>
  </w:style>
  <w:style w:type="paragraph" w:styleId="13">
    <w:name w:val="Body Text First Indent 2"/>
    <w:basedOn w:val="9"/>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style>
  <w:style w:type="character" w:styleId="18">
    <w:name w:val="Hyperlink"/>
    <w:basedOn w:val="16"/>
    <w:qFormat/>
    <w:uiPriority w:val="0"/>
    <w:rPr>
      <w:color w:val="0000FF"/>
      <w:u w:val="single"/>
    </w:rPr>
  </w:style>
  <w:style w:type="paragraph" w:customStyle="1" w:styleId="19">
    <w:name w:val="目录 81"/>
    <w:next w:val="1"/>
    <w:qFormat/>
    <w:uiPriority w:val="99"/>
    <w:pPr>
      <w:wordWrap w:val="0"/>
      <w:ind w:left="2975"/>
      <w:jc w:val="both"/>
    </w:pPr>
    <w:rPr>
      <w:rFonts w:ascii="Times New Roman" w:hAnsi="Times New Roman" w:eastAsia="宋体" w:cs="Times New Roman"/>
      <w:sz w:val="21"/>
      <w:lang w:val="en-US" w:eastAsia="zh-CN" w:bidi="ar-SA"/>
    </w:rPr>
  </w:style>
  <w:style w:type="paragraph" w:customStyle="1" w:styleId="20">
    <w:name w:val="列出段落1"/>
    <w:basedOn w:val="1"/>
    <w:qFormat/>
    <w:uiPriority w:val="34"/>
    <w:pPr>
      <w:ind w:firstLine="420" w:firstLineChars="200"/>
    </w:pPr>
    <w:rPr>
      <w:rFonts w:ascii="Times New Roman" w:hAnsi="Times New Roman" w:eastAsia="宋体" w:cs="Times New Roman"/>
      <w:szCs w:val="20"/>
    </w:rPr>
  </w:style>
  <w:style w:type="character" w:customStyle="1" w:styleId="21">
    <w:name w:val="NormalCharacter"/>
    <w:qFormat/>
    <w:uiPriority w:val="0"/>
    <w:rPr>
      <w:rFonts w:ascii="Times New Roman" w:hAnsi="Times New Roman" w:eastAsia="宋体"/>
    </w:rPr>
  </w:style>
  <w:style w:type="paragraph" w:customStyle="1" w:styleId="22">
    <w:name w:val="样式 文字 + 首行缩进:  2 字符3"/>
    <w:basedOn w:val="1"/>
    <w:qFormat/>
    <w:uiPriority w:val="0"/>
    <w:pPr>
      <w:spacing w:line="360" w:lineRule="auto"/>
      <w:jc w:val="left"/>
    </w:pPr>
    <w:rPr>
      <w:rFonts w:ascii="等线" w:hAnsi="等线" w:eastAsia="等线"/>
      <w:sz w:val="28"/>
      <w:szCs w:val="28"/>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Body text|1"/>
    <w:basedOn w:val="1"/>
    <w:qFormat/>
    <w:uiPriority w:val="0"/>
    <w:pPr>
      <w:widowControl w:val="0"/>
      <w:shd w:val="clear" w:color="auto" w:fill="auto"/>
      <w:spacing w:after="340" w:line="480" w:lineRule="auto"/>
      <w:ind w:firstLine="400"/>
    </w:pPr>
    <w:rPr>
      <w:rFonts w:ascii="宋体" w:hAnsi="宋体" w:eastAsia="宋体" w:cs="宋体"/>
      <w:sz w:val="22"/>
      <w:szCs w:val="22"/>
      <w:u w:val="none"/>
      <w:shd w:val="clear" w:color="auto" w:fill="auto"/>
      <w:lang w:val="zh-TW" w:eastAsia="zh-TW" w:bidi="zh-TW"/>
    </w:rPr>
  </w:style>
  <w:style w:type="paragraph" w:customStyle="1" w:styleId="25">
    <w:name w:val="Heading #1|1"/>
    <w:basedOn w:val="1"/>
    <w:qFormat/>
    <w:uiPriority w:val="0"/>
    <w:pPr>
      <w:widowControl w:val="0"/>
      <w:shd w:val="clear" w:color="auto" w:fill="auto"/>
      <w:spacing w:after="190"/>
      <w:outlineLvl w:val="0"/>
    </w:pPr>
    <w:rPr>
      <w:rFonts w:ascii="宋体" w:hAnsi="宋体" w:eastAsia="宋体" w:cs="宋体"/>
      <w:sz w:val="28"/>
      <w:szCs w:val="28"/>
      <w:u w:val="none"/>
      <w:shd w:val="clear" w:color="auto" w:fill="auto"/>
      <w:lang w:val="zh-TW" w:eastAsia="zh-TW" w:bidi="zh-TW"/>
    </w:rPr>
  </w:style>
  <w:style w:type="paragraph" w:customStyle="1" w:styleId="26">
    <w:name w:val="首页1"/>
    <w:basedOn w:val="1"/>
    <w:qFormat/>
    <w:uiPriority w:val="0"/>
    <w:rPr>
      <w:rFonts w:ascii="宋体" w:hAnsi="宋体" w:eastAsia="宋体" w:cs="Times New Roman"/>
      <w:szCs w:val="21"/>
    </w:rPr>
  </w:style>
  <w:style w:type="paragraph" w:customStyle="1" w:styleId="27">
    <w:name w:val="说明1"/>
    <w:basedOn w:val="1"/>
    <w:next w:val="1"/>
    <w:qFormat/>
    <w:uiPriority w:val="0"/>
    <w:pPr>
      <w:widowControl/>
      <w:spacing w:before="100" w:beforeAutospacing="1" w:after="100" w:afterAutospacing="1"/>
      <w:ind w:left="283"/>
      <w:jc w:val="left"/>
    </w:pPr>
    <w:rPr>
      <w:rFonts w:ascii="宋体" w:hAnsi="宋体" w:eastAsia="宋体" w:cs="Arial"/>
      <w:b/>
      <w:kern w:val="0"/>
      <w:szCs w:val="21"/>
    </w:rPr>
  </w:style>
  <w:style w:type="paragraph" w:customStyle="1" w:styleId="28">
    <w:name w:val="秘密紧急"/>
    <w:basedOn w:val="1"/>
    <w:qFormat/>
    <w:uiPriority w:val="0"/>
    <w:pPr>
      <w:jc w:val="right"/>
    </w:pPr>
    <w:rPr>
      <w:rFonts w:ascii="黑体" w:eastAsia="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1242</Words>
  <Characters>1459</Characters>
  <Lines>0</Lines>
  <Paragraphs>0</Paragraphs>
  <TotalTime>9</TotalTime>
  <ScaleCrop>false</ScaleCrop>
  <LinksUpToDate>false</LinksUpToDate>
  <CharactersWithSpaces>1517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2022-09-11T07:03:00Z</dcterms:created>
  <dc:creator>小明</dc:creator>
  <cp:lastModifiedBy>dxal</cp:lastModifiedBy>
  <cp:lastPrinted>2026-09-08T07:11:00Z</cp:lastPrinted>
  <dcterms:modified xsi:type="dcterms:W3CDTF">2026-09-08T11:13:33Z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33AFF6B345124E2F83D86669684BEE0F</vt:lpwstr>
  </property>
</Properties>
</file>