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pacing w:val="74"/>
          <w:sz w:val="32"/>
          <w:lang w:val="en-US" w:eastAsia="zh-CN"/>
        </w:rPr>
      </w:pPr>
      <w:r>
        <w:rPr>
          <w:rFonts w:hint="eastAsia"/>
          <w:spacing w:val="74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pacing w:val="74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/>
          <w:spacing w:val="74"/>
          <w:sz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pacing w:val="74"/>
          <w:sz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  <w:t>署办函</w:t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</w:rPr>
        <w:t>〔20</w:t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</w:rPr>
        <w:t>号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220" w:firstLineChars="50"/>
        <w:jc w:val="center"/>
        <w:textAlignment w:val="auto"/>
        <w:rPr>
          <w:rFonts w:hint="eastAsia"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  <w:lang w:eastAsia="zh-CN"/>
        </w:rPr>
        <w:t>大兴安岭地区行署办公室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220" w:firstLineChars="50"/>
        <w:jc w:val="center"/>
        <w:textAlignment w:val="auto"/>
        <w:rPr>
          <w:rFonts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</w:rPr>
        <w:t>关于</w:t>
      </w:r>
      <w:r>
        <w:rPr>
          <w:rFonts w:hint="eastAsia"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  <w:lang w:val="en-US" w:eastAsia="zh-CN"/>
        </w:rPr>
        <w:t>印发</w:t>
      </w:r>
      <w:r>
        <w:rPr>
          <w:rFonts w:hint="eastAsia"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  <w:lang w:eastAsia="zh"/>
        </w:rPr>
        <w:t>5</w:t>
      </w:r>
      <w:r>
        <w:rPr>
          <w:rFonts w:hint="eastAsia"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</w:rPr>
        <w:t>年度行署常务会议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b w:val="0"/>
          <w:bCs w:val="0"/>
          <w:color w:val="auto"/>
          <w:kern w:val="0"/>
          <w:sz w:val="44"/>
          <w:szCs w:val="44"/>
        </w:rPr>
        <w:t>会前学法计划的通知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 w:cs="宋体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地直各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《黑龙江省人民政府办公厅关于政府常务会议会前学法的通知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7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黑政办函〔2018〕25号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5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领导干部要做尊法学法守法用法的表率，增强依法行政意识，提高运用法治思维和方式处理问题能力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的要求，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为了全面推进依法行政，加快法治政府建设步伐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地直各单位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领导干部要充分认识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行署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常务会议会前学法是法治政府建设的需要，是领导干部学法和提高依法履职能力的要求，把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行署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常务会议会前学法变成思想自觉、行动自觉，并把此项工作作为长期的、持续性工作予以实施。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地直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意见，现制定2025年度行署常务会议会前学法计划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，现将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要求通知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305" w:hanging="720" w:firstLineChars="0"/>
        <w:jc w:val="left"/>
        <w:textAlignment w:val="auto"/>
        <w:rPr>
          <w:rFonts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总体安排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sectPr>
          <w:footerReference r:id="rId3" w:type="default"/>
          <w:pgSz w:w="11906" w:h="16838"/>
          <w:pgMar w:top="1417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年度行署常务会议学法，主要采取会前学法方式进行。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主讲人是地委、行署各职能部门主要负责人或分管工作领导，也可根据实际需要，邀请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行署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法律顾问、法律专家学者和经验丰富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的法律事务工作者授课。各主讲单位要高度重视，承担主讲任务的主要负责人要深入研究、认真准备，在规定时限内讲解准确、透彻，确保学习效果。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学习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行署常务会议出席人员、列席人员。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142" w:firstLine="480" w:firstLineChars="150"/>
        <w:textAlignment w:val="auto"/>
        <w:rPr>
          <w:rFonts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三、学法内容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习近平法治思想、党的二十大实施依法治国方略、推进依法行政的基本理论；与行署行政工作密切相关的法律、法规、规章和规范性文件；新颁布、修订的规范政府行为的法律、法规和规章制度，及党风廉政建设方面的党内法规和有关制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　</w:t>
      </w:r>
      <w:r>
        <w:rPr>
          <w:rFonts w:cs="宋体" w:asciiTheme="minorEastAsia" w:hAnsiTheme="minorEastAsia" w:eastAsiaTheme="minorEastAsia"/>
          <w:b w:val="0"/>
          <w:bCs w:val="0"/>
          <w:color w:val="auto"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四、组织实施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行署常务会议会前学法活动由行署办负责组织实施，地区司法局负责拟定年度学法计划，协调落实授课安排，各主讲单位要密切配合。根据会议议题需要，行署领导可临时确定其他法律内容。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按学法计划所列，请前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各主讲单位务于2月28日前、其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主讲单位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4月20日前将讲义、讲义提纲（课件）、主讲人姓名（另指定备选领导1人）、联系人及联系电话报地区司法局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，邮箱dxalpf@126.com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根据会议议题需要，行署领导可临时确定其他法律内容，地区司法局或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行署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办协调落实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并提前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有关单位得到通知后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2天内报送讲稿（课件），保证学法任务完成。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学法频次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年学习法律法规规章不少于20部，每次学习时间不少于30分钟。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cs="宋体" w:asciiTheme="minorEastAsia" w:hAnsiTheme="minorEastAsia" w:eastAsiaTheme="minorEastAsia"/>
          <w:b w:val="0"/>
          <w:bCs w:val="0"/>
          <w:color w:val="auto"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　六、工作要求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</w:rPr>
        <w:t>（一）思想高度重视。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落实领导学法制度是提高依法行政水平，加快法治政府建设的重要举措。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地直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各部门负责人要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认真履行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谁执法谁普法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2"/>
          <w:kern w:val="0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谁管理谁普法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2"/>
          <w:kern w:val="0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谁服务谁普法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普法责任制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，增强学法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普法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意识，制定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本部门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在行署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常务会议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会前讲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法计划，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月20日前将年度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法计划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及讲稿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以正式文件报地区司法局（地直部门可将文件发送到指定邮箱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dxalpf@126.com)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　　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</w:rPr>
        <w:t>（二）精心组织安排。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各相关单位要按照要求，围绕学法主题，精心准备授课内容，创新学习方式，学法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要紧密结合各自工作和职能实际，突出重点，保证质量，务求实效。所有没被列入年度学法计划的单位也要根据本部门涉及的重要法律、法规认真准备授课内容。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8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</w:rPr>
        <w:t>（三）严格考核评价。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要把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行署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常务会议会前学法和职能部门主要负责人讲法及各部门学法情况（有学法记录、影像资料等）纳入年度法治政府建设考核，作为对各级政府及其职能部门领导班子和领导干部年度考核、目标考核等综合考核的重要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王振友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0457—2751507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 xml:space="preserve"> 电子邮箱：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dxalpf@126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.com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年度行署常务会议会前学法计划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黑龙江省大兴安岭地区行政公署办公室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  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36"/>
          <w:szCs w:val="36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/>
        </w:rPr>
        <w:t>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/>
        </w:rPr>
        <w:t>行署常务会议会前学法计划</w:t>
      </w:r>
    </w:p>
    <w:tbl>
      <w:tblPr>
        <w:tblStyle w:val="15"/>
        <w:tblpPr w:leftFromText="180" w:rightFromText="180" w:vertAnchor="text" w:horzAnchor="page" w:tblpX="1108" w:tblpY="578"/>
        <w:tblOverlap w:val="never"/>
        <w:tblW w:w="54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618"/>
        <w:gridCol w:w="5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地直单位名称</w:t>
            </w:r>
          </w:p>
        </w:tc>
        <w:tc>
          <w:tcPr>
            <w:tcW w:w="27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会前学法内容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大兴安岭地区人社局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《中华人民共和国劳动合同法》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大兴安岭地委统战部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《宗教事务条例》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大兴安岭地区残联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《中华人民共和国残疾人保障法》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大兴安岭地区统计局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《中华人民共和国统计法》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大兴安岭地区审计局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《领导干部自然资源资产离任审计规定（试行）》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大兴安岭地区医疗保障局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《黑龙江省医疗保障基金监管管理条例》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大兴安岭地区科学技术局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《中华人民共和国促进科技成果转化法》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大兴安岭地区水务局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黑龙江省河道采砂管理办法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》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大兴安岭地区民政局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《黑龙江省临时救助工作规范》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大兴安岭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地区粮储局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政府粮油储备质量安全管理办法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大兴安岭地区生态环境局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《中华人民共和国自然保护区条例》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大兴安岭地区发展和改革委员会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《中华人民共和国军事设施保护法》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大兴安岭地区住房和城乡建设局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《黑龙江省住宅物业管理条例》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大兴安岭地区退役军人事务局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《退役军人安置条例》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大兴安岭地区工业和信息化局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《工业监察管理办法》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" w:bidi="ar"/>
              </w:rPr>
              <w:t>大兴安岭地区财政局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" w:bidi="ar"/>
              </w:rPr>
              <w:t>《中华人民共和国会计法》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大兴安岭实验中学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《中华人民共和国教育法》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共青团大兴安岭地区委员会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《中华人民共和国未成年人保护法》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大兴安岭地区商务局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《中华人民共和国外商投资法》解读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大兴安岭地区农业农村局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中华人民共和国黑土地保护法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大兴安岭地区林草局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《中华人民共和国森林法》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大兴安岭地区行署外事办公室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《黑龙江省边境管理条例》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8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大兴安岭地区交通运输局</w:t>
            </w:r>
          </w:p>
        </w:tc>
        <w:tc>
          <w:tcPr>
            <w:tcW w:w="2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《公路安全保护条例》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389890</wp:posOffset>
                </wp:positionV>
                <wp:extent cx="57150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30.7pt;height:0.05pt;width:450pt;z-index:251692032;mso-width-relative:page;mso-height-relative:page;" filled="f" stroked="t" coordsize="21600,21600" o:gfxdata="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NUXgA1wAAAAkBAAAPAAAAAAAAAAEAIAAAADgAAABkcnMvZG93bnJldi54bWxQSwEC&#10;FAAUAAAACACHTuJAR6XWHt8BAACbAwAADgAAAAAAAAABACAAAAA8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17780</wp:posOffset>
                </wp:positionV>
                <wp:extent cx="57150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.4pt;height:0.05pt;width:450pt;z-index:251691008;mso-width-relative:page;mso-height-relative:page;" filled="f" stroked="t" coordsize="21600,21600" o:gfxdata="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82MhbVAAAABwEAAA8AAAAAAAAAAQAgAAAAOAAAAGRycy9kb3ducmV2LnhtbFBLAQIUABQA&#10;AAAIAIdO4kCIOnIi3QEAAJsDAAAOAAAAAAAAAAEAIAAAADo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大兴安岭地区行署办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秘书科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7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9" w:lineRule="exact"/>
      <w:rPr>
        <w:rFonts w:ascii="仿宋" w:hAnsi="仿宋" w:eastAsia="仿宋" w:cs="仿宋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808"/>
      </w:tabs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-35560</wp:posOffset>
              </wp:positionV>
              <wp:extent cx="464185" cy="3371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4185" cy="337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8pt;height:26.55pt;width:36.55pt;mso-position-horizontal:outside;mso-position-horizontal-relative:margin;z-index:251685888;mso-width-relative:page;mso-height-relative:page;" filled="f" stroked="f" coordsize="21600,21600" o:gfxdata="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Oa44KDWAAAABQEAAA8AAAAAAAAAAQAgAAAAOAAAAGRycy9kb3ducmV2&#10;LnhtbFBLAQIUABQAAAAIAIdO4kD6+7vH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31"/>
        <w:szCs w:val="31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555B7"/>
    <w:multiLevelType w:val="singleLevel"/>
    <w:tmpl w:val="5E8555B7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FBE5267"/>
    <w:multiLevelType w:val="multilevel"/>
    <w:tmpl w:val="5FBE5267"/>
    <w:lvl w:ilvl="0" w:tentative="0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5" w:hanging="420"/>
      </w:pPr>
    </w:lvl>
    <w:lvl w:ilvl="2" w:tentative="0">
      <w:start w:val="1"/>
      <w:numFmt w:val="lowerRoman"/>
      <w:lvlText w:val="%3."/>
      <w:lvlJc w:val="right"/>
      <w:pPr>
        <w:ind w:left="1845" w:hanging="420"/>
      </w:pPr>
    </w:lvl>
    <w:lvl w:ilvl="3" w:tentative="0">
      <w:start w:val="1"/>
      <w:numFmt w:val="decimal"/>
      <w:lvlText w:val="%4."/>
      <w:lvlJc w:val="left"/>
      <w:pPr>
        <w:ind w:left="2265" w:hanging="420"/>
      </w:pPr>
    </w:lvl>
    <w:lvl w:ilvl="4" w:tentative="0">
      <w:start w:val="1"/>
      <w:numFmt w:val="lowerLetter"/>
      <w:lvlText w:val="%5)"/>
      <w:lvlJc w:val="left"/>
      <w:pPr>
        <w:ind w:left="2685" w:hanging="420"/>
      </w:pPr>
    </w:lvl>
    <w:lvl w:ilvl="5" w:tentative="0">
      <w:start w:val="1"/>
      <w:numFmt w:val="lowerRoman"/>
      <w:lvlText w:val="%6."/>
      <w:lvlJc w:val="right"/>
      <w:pPr>
        <w:ind w:left="3105" w:hanging="420"/>
      </w:pPr>
    </w:lvl>
    <w:lvl w:ilvl="6" w:tentative="0">
      <w:start w:val="1"/>
      <w:numFmt w:val="decimal"/>
      <w:lvlText w:val="%7."/>
      <w:lvlJc w:val="left"/>
      <w:pPr>
        <w:ind w:left="3525" w:hanging="420"/>
      </w:pPr>
    </w:lvl>
    <w:lvl w:ilvl="7" w:tentative="0">
      <w:start w:val="1"/>
      <w:numFmt w:val="lowerLetter"/>
      <w:lvlText w:val="%8)"/>
      <w:lvlJc w:val="left"/>
      <w:pPr>
        <w:ind w:left="3945" w:hanging="420"/>
      </w:pPr>
    </w:lvl>
    <w:lvl w:ilvl="8" w:tentative="0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354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YyZjM0MGVmOWJkMTY3OWUzMjIyNWM0YWFmMzEifQ=="/>
  </w:docVars>
  <w:rsids>
    <w:rsidRoot w:val="519F1114"/>
    <w:rsid w:val="00766354"/>
    <w:rsid w:val="04487067"/>
    <w:rsid w:val="070D3824"/>
    <w:rsid w:val="08855EA9"/>
    <w:rsid w:val="0A3851CE"/>
    <w:rsid w:val="0BCD50E1"/>
    <w:rsid w:val="0E270571"/>
    <w:rsid w:val="0EBE4F11"/>
    <w:rsid w:val="10601025"/>
    <w:rsid w:val="11883E53"/>
    <w:rsid w:val="13507C4D"/>
    <w:rsid w:val="138F0B1F"/>
    <w:rsid w:val="139525D9"/>
    <w:rsid w:val="16FA09A5"/>
    <w:rsid w:val="173870B1"/>
    <w:rsid w:val="18805260"/>
    <w:rsid w:val="197E5AC5"/>
    <w:rsid w:val="1A563640"/>
    <w:rsid w:val="1B0C0A88"/>
    <w:rsid w:val="1B485BA7"/>
    <w:rsid w:val="1BB05BB9"/>
    <w:rsid w:val="1D602D56"/>
    <w:rsid w:val="1E3D5D47"/>
    <w:rsid w:val="1E7E3BC8"/>
    <w:rsid w:val="1F2121D3"/>
    <w:rsid w:val="1F3025CC"/>
    <w:rsid w:val="1F546F50"/>
    <w:rsid w:val="20240A94"/>
    <w:rsid w:val="220A3A35"/>
    <w:rsid w:val="22A35694"/>
    <w:rsid w:val="22D623DA"/>
    <w:rsid w:val="237B69CA"/>
    <w:rsid w:val="25FA5EE8"/>
    <w:rsid w:val="26887D7C"/>
    <w:rsid w:val="28355CE1"/>
    <w:rsid w:val="29862A38"/>
    <w:rsid w:val="2B344126"/>
    <w:rsid w:val="2C5E51BB"/>
    <w:rsid w:val="2E331933"/>
    <w:rsid w:val="2E8A57EA"/>
    <w:rsid w:val="2F581430"/>
    <w:rsid w:val="2FFF60B6"/>
    <w:rsid w:val="30121DEE"/>
    <w:rsid w:val="31800C17"/>
    <w:rsid w:val="31950990"/>
    <w:rsid w:val="331C6CDA"/>
    <w:rsid w:val="33A64101"/>
    <w:rsid w:val="36CF5679"/>
    <w:rsid w:val="38C60FFD"/>
    <w:rsid w:val="39003169"/>
    <w:rsid w:val="3A0F69B6"/>
    <w:rsid w:val="3A7F4B06"/>
    <w:rsid w:val="3B9E0B07"/>
    <w:rsid w:val="3BCBDFBA"/>
    <w:rsid w:val="3C1513FA"/>
    <w:rsid w:val="3CE31C11"/>
    <w:rsid w:val="3D205262"/>
    <w:rsid w:val="3F7FC9D0"/>
    <w:rsid w:val="3FFFE761"/>
    <w:rsid w:val="40155F72"/>
    <w:rsid w:val="42131118"/>
    <w:rsid w:val="44250560"/>
    <w:rsid w:val="448A6B79"/>
    <w:rsid w:val="44C45FCB"/>
    <w:rsid w:val="483A63D2"/>
    <w:rsid w:val="49397A24"/>
    <w:rsid w:val="4B823782"/>
    <w:rsid w:val="4C0309E6"/>
    <w:rsid w:val="4DC5711D"/>
    <w:rsid w:val="4E380879"/>
    <w:rsid w:val="4E915170"/>
    <w:rsid w:val="4EB66FD8"/>
    <w:rsid w:val="4FC60E49"/>
    <w:rsid w:val="519F1114"/>
    <w:rsid w:val="525A21D0"/>
    <w:rsid w:val="52795D32"/>
    <w:rsid w:val="52FF5F8B"/>
    <w:rsid w:val="543839BE"/>
    <w:rsid w:val="548051B1"/>
    <w:rsid w:val="5559450E"/>
    <w:rsid w:val="561F417C"/>
    <w:rsid w:val="569357FD"/>
    <w:rsid w:val="56FC3B73"/>
    <w:rsid w:val="57DF2F62"/>
    <w:rsid w:val="58A727BF"/>
    <w:rsid w:val="593A0E1B"/>
    <w:rsid w:val="59D83A25"/>
    <w:rsid w:val="5EC0115A"/>
    <w:rsid w:val="5F7B8F02"/>
    <w:rsid w:val="5FBE303F"/>
    <w:rsid w:val="5FDB3EC1"/>
    <w:rsid w:val="5FF81680"/>
    <w:rsid w:val="604F6C39"/>
    <w:rsid w:val="60A92A6A"/>
    <w:rsid w:val="60D65160"/>
    <w:rsid w:val="61C40F61"/>
    <w:rsid w:val="640F0BB9"/>
    <w:rsid w:val="6AA05BF2"/>
    <w:rsid w:val="6D6A3304"/>
    <w:rsid w:val="6E1F58A5"/>
    <w:rsid w:val="6EA14B04"/>
    <w:rsid w:val="6F297204"/>
    <w:rsid w:val="6FD5473A"/>
    <w:rsid w:val="6FDDAA68"/>
    <w:rsid w:val="72435ED2"/>
    <w:rsid w:val="72B1108D"/>
    <w:rsid w:val="732B471B"/>
    <w:rsid w:val="73F7CE7B"/>
    <w:rsid w:val="74C218BA"/>
    <w:rsid w:val="74EB2C86"/>
    <w:rsid w:val="75EE607A"/>
    <w:rsid w:val="760C32EE"/>
    <w:rsid w:val="76A834CD"/>
    <w:rsid w:val="777E6942"/>
    <w:rsid w:val="77FB9233"/>
    <w:rsid w:val="795124C5"/>
    <w:rsid w:val="797D616D"/>
    <w:rsid w:val="7A76298D"/>
    <w:rsid w:val="7B193F76"/>
    <w:rsid w:val="7BC57958"/>
    <w:rsid w:val="7CDD85BE"/>
    <w:rsid w:val="7CE45676"/>
    <w:rsid w:val="7CEF723D"/>
    <w:rsid w:val="7D67CED4"/>
    <w:rsid w:val="7DDB2AFA"/>
    <w:rsid w:val="7DF700C9"/>
    <w:rsid w:val="7E5F26BC"/>
    <w:rsid w:val="7E5F3F6A"/>
    <w:rsid w:val="7EEB1B16"/>
    <w:rsid w:val="7F7F1B02"/>
    <w:rsid w:val="7FAA39CD"/>
    <w:rsid w:val="7FF73B7C"/>
    <w:rsid w:val="A7330D80"/>
    <w:rsid w:val="B7EE3083"/>
    <w:rsid w:val="CED10101"/>
    <w:rsid w:val="DFBF66A3"/>
    <w:rsid w:val="E3DD4C95"/>
    <w:rsid w:val="EF589A31"/>
    <w:rsid w:val="F1F6594C"/>
    <w:rsid w:val="F36B23E2"/>
    <w:rsid w:val="F3E41526"/>
    <w:rsid w:val="F5FBCE4A"/>
    <w:rsid w:val="F77FA0C6"/>
    <w:rsid w:val="F7A509EF"/>
    <w:rsid w:val="FADF4FEE"/>
    <w:rsid w:val="FBB236B4"/>
    <w:rsid w:val="FDFF4D63"/>
    <w:rsid w:val="FEB31D9E"/>
    <w:rsid w:val="FEFDD3CF"/>
    <w:rsid w:val="FF263B2C"/>
    <w:rsid w:val="FF6F46C0"/>
    <w:rsid w:val="FF7B4C0F"/>
    <w:rsid w:val="FF7F8120"/>
    <w:rsid w:val="FFA731BA"/>
    <w:rsid w:val="FF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13"/>
      <w:sz w:val="52"/>
      <w:szCs w:val="5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630"/>
    </w:pPr>
    <w:rPr>
      <w:kern w:val="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2"/>
    <w:next w:val="1"/>
    <w:qFormat/>
    <w:uiPriority w:val="0"/>
    <w:pPr>
      <w:tabs>
        <w:tab w:val="left" w:pos="3972"/>
      </w:tabs>
      <w:spacing w:after="0" w:afterLines="0" w:line="588" w:lineRule="exact"/>
      <w:ind w:firstLine="880" w:firstLineChars="200"/>
    </w:p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NormalCharacter"/>
    <w:qFormat/>
    <w:uiPriority w:val="0"/>
    <w:rPr>
      <w:rFonts w:ascii="Times New Roman" w:hAnsi="Times New Roman" w:eastAsia="宋体"/>
    </w:rPr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jc w:val="left"/>
    </w:pPr>
    <w:rPr>
      <w:rFonts w:ascii="等线" w:hAnsi="等线" w:eastAsia="等线"/>
      <w:sz w:val="28"/>
      <w:szCs w:val="28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after="340"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qFormat/>
    <w:uiPriority w:val="0"/>
    <w:pPr>
      <w:widowControl w:val="0"/>
      <w:shd w:val="clear" w:color="auto" w:fill="auto"/>
      <w:spacing w:after="190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首页1"/>
    <w:basedOn w:val="1"/>
    <w:qFormat/>
    <w:uiPriority w:val="0"/>
    <w:rPr>
      <w:rFonts w:ascii="宋体" w:hAnsi="宋体" w:eastAsia="宋体" w:cs="Times New Roman"/>
      <w:szCs w:val="21"/>
    </w:rPr>
  </w:style>
  <w:style w:type="paragraph" w:customStyle="1" w:styleId="27">
    <w:name w:val="说明1"/>
    <w:basedOn w:val="1"/>
    <w:next w:val="1"/>
    <w:qFormat/>
    <w:uiPriority w:val="0"/>
    <w:pPr>
      <w:widowControl/>
      <w:spacing w:before="100" w:beforeAutospacing="1" w:after="100" w:afterAutospacing="1"/>
      <w:ind w:left="283"/>
      <w:jc w:val="left"/>
    </w:pPr>
    <w:rPr>
      <w:rFonts w:ascii="宋体" w:hAnsi="宋体" w:eastAsia="宋体" w:cs="Arial"/>
      <w:b/>
      <w:kern w:val="0"/>
      <w:szCs w:val="21"/>
    </w:rPr>
  </w:style>
  <w:style w:type="paragraph" w:customStyle="1" w:styleId="28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1242</Words>
  <Characters>1459</Characters>
  <Lines>0</Lines>
  <Paragraphs>0</Paragraphs>
  <TotalTime>19</TotalTime>
  <ScaleCrop>false</ScaleCrop>
  <LinksUpToDate>false</LinksUpToDate>
  <CharactersWithSpaces>1517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2022-08-31T15:03:00Z</dcterms:created>
  <dc:creator>小明</dc:creator>
  <cp:lastModifiedBy>dxal</cp:lastModifiedBy>
  <cp:lastPrinted>2025-01-10T00:28:00Z</cp:lastPrinted>
  <dcterms:modified xsi:type="dcterms:W3CDTF">2025-01-10T16:18:49Z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33AFF6B345124E2F83D86669684BEE0F</vt:lpwstr>
  </property>
</Properties>
</file>