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E05F">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9753"/>
      <w:bookmarkStart w:id="1" w:name="_Toc26164"/>
      <w:r>
        <w:rPr>
          <w:rFonts w:hint="eastAsia" w:eastAsia="仿宋" w:cs="Times New Roman"/>
          <w:b/>
          <w:bCs/>
          <w:kern w:val="2"/>
          <w:sz w:val="32"/>
          <w:szCs w:val="32"/>
          <w:lang w:val="en-US" w:eastAsia="zh-CN" w:bidi="ar-SA"/>
        </w:rPr>
        <w:t>59</w:t>
      </w:r>
      <w:r>
        <w:rPr>
          <w:rFonts w:hint="eastAsia" w:ascii="Times New Roman" w:hAnsi="Times New Roman" w:eastAsia="仿宋" w:cs="Times New Roman"/>
          <w:b/>
          <w:bCs/>
          <w:kern w:val="2"/>
          <w:sz w:val="32"/>
          <w:szCs w:val="32"/>
          <w:lang w:val="en-US" w:eastAsia="zh-CN" w:bidi="ar-SA"/>
        </w:rPr>
        <w:t>.关于印发《大兴安岭地区知识产权质押融资评估费用补助（暂行）办法》的通知（2024年5月28日）</w:t>
      </w:r>
      <w:bookmarkEnd w:id="0"/>
      <w:bookmarkEnd w:id="1"/>
    </w:p>
    <w:bookmarkEnd w:id="2"/>
    <w:p w14:paraId="1C90730E">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大市监联规[2024]1号</w:t>
      </w:r>
    </w:p>
    <w:p w14:paraId="087B8B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各县（市、区）人民政府：</w:t>
      </w:r>
    </w:p>
    <w:p w14:paraId="693A31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为推进我区营商环境持续优化，进一步推动《黑龙江省关于支持高价值发明专利培育的若干政策措施》在我区的落实，为企业提供多元化知识产权金融支持，降低融资成本。结合我区实际，经行署同意，大兴安岭地区行署市场监督管理局、大兴安岭地区行署财政局联合制定了《大兴安岭地区知识产权质押融资评估费用补助（暂行）办法》，现印发给你们，请认真贯彻落实。</w:t>
      </w:r>
    </w:p>
    <w:p w14:paraId="2869D9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大兴安岭地区行政公署大兴安岭地区行政公署</w:t>
      </w:r>
    </w:p>
    <w:p w14:paraId="425A41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市场监督管理局财政局</w:t>
      </w:r>
    </w:p>
    <w:p w14:paraId="7ACF31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righ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2024年5月28日</w:t>
      </w:r>
    </w:p>
    <w:p w14:paraId="027189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center"/>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大兴安岭地区知识产权质押融资评估费用补助（暂行）办法</w:t>
      </w:r>
    </w:p>
    <w:p w14:paraId="338635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为推进我区营商环境持续优化，深入落实《黑龙江省关于支持高价值发明专利培育的若干政策措施》等惠企利民政策，为企业提供多元化知识产权金融支持，降低融资成本。对符合条件的企业给予知识产权质押融资评估费用补助，制定本办法。</w:t>
      </w:r>
    </w:p>
    <w:p w14:paraId="042650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一、适用范围及条件</w:t>
      </w:r>
    </w:p>
    <w:p w14:paraId="5CBA66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（一）在大兴安岭地区行政区域内登记注册，且目前不在失信名单的企业；</w:t>
      </w:r>
    </w:p>
    <w:p w14:paraId="3AADD5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（二）申请质押融资标的物应为被国家知识产权局授权的商标、发明专利、实用新型专利、外观设计专利，且法定有效期限到期日至少在质押期限到期日的两年以后；</w:t>
      </w:r>
    </w:p>
    <w:p w14:paraId="5F2010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（三）所质押的知识产权已应用到生产经营中，并形成产业化经营规模，具有较好市场潜力和良好经济效益；</w:t>
      </w:r>
    </w:p>
    <w:p w14:paraId="084999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（四）评估机构的选择，应由申请企业与银行机构协商一致；</w:t>
      </w:r>
    </w:p>
    <w:p w14:paraId="764DA7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（五）所质押的知识产权不涉及国家安全与保密事项，不存在知识产权纠纷；</w:t>
      </w:r>
    </w:p>
    <w:p w14:paraId="024B37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（六）企业从银行机构获得知识产权质押贷款到账后，方可提出申请。</w:t>
      </w:r>
    </w:p>
    <w:p w14:paraId="392A71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二、补助金额</w:t>
      </w:r>
    </w:p>
    <w:p w14:paraId="594AFB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对以知识产权质押方式取得银行贷款的企业，按照实际发生的知识产权评估费用给予单一企业最高不超过10万元的资金补助，超过部分由企业自行承担。</w:t>
      </w:r>
    </w:p>
    <w:p w14:paraId="3259F7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三、资金来源及补助方式</w:t>
      </w:r>
    </w:p>
    <w:p w14:paraId="7712D2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（一）按照财政事权和支出责任相适应的原则，补助资金由各级政府负责，各级财政部门要将知识产权质押融资评估费用列入本级财政预算统筹保障；</w:t>
      </w:r>
    </w:p>
    <w:p w14:paraId="340534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（二）各级政府结合本地经济实际情况，设立固定金额的年度补助专项资金，申请补助企业按照“先到先得”原则，以正式知识产权质押贷款到账日先后顺序获得补助，当年专项资金发放完毕为止；</w:t>
      </w:r>
    </w:p>
    <w:p w14:paraId="5F8D0A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（三）补助的申请受理、审核、发放由企业登记注册地的市场监督管理部门负责。</w:t>
      </w:r>
    </w:p>
    <w:p w14:paraId="7078C9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四、企业申请补助需提交的材料</w:t>
      </w:r>
    </w:p>
    <w:p w14:paraId="53006F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（一）《大兴安岭地区知识产权质押融资评估费用补助申请表》；</w:t>
      </w:r>
    </w:p>
    <w:p w14:paraId="64F247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（二）拟质押的知识产权授权证书原件（现场查验）及复印件；</w:t>
      </w:r>
    </w:p>
    <w:p w14:paraId="3C270D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（三）评估机构出具的知识产权评估费正式发票；</w:t>
      </w:r>
    </w:p>
    <w:p w14:paraId="2869B5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（四）质押合同和贷款合同复印件、贷款到账凭证。</w:t>
      </w:r>
    </w:p>
    <w:p w14:paraId="0373F6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（五）国家知识产权局出具的知识产权质权登记证正本（现场查验）和复印件；</w:t>
      </w:r>
    </w:p>
    <w:p w14:paraId="1C6EE4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2" w:firstLineChars="200"/>
        <w:jc w:val="both"/>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五、监督管理</w:t>
      </w:r>
    </w:p>
    <w:p w14:paraId="552613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一）申报企业所提交的材料要真实有效，不得弄虚作假和骗取财政资金。对利用虚假材料和凭证骗取、套取专项资金的，收回已拨付资金，取消其今后申报知识产权奖补的资格，并按照《财政违法行为处罚处分条例》等法律法规对有关单位和人员予以处罚，构成犯罪的，依法追究刑事责任。</w:t>
      </w:r>
    </w:p>
    <w:p w14:paraId="4D918A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为知识产权质押融资提供评估服务的中介机构，在评估过程中弄虚作假的，列入征信系统并依照有关法律法规处理。</w:t>
      </w:r>
    </w:p>
    <w:p w14:paraId="4627E0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（二）大兴安岭地区市场监督管理局、各级财政部门对专项补助资金相关情况进行监督检查，及时掌握补助资金的使用和管理情况，分析和评价补助资金政策执行效果。</w:t>
      </w:r>
    </w:p>
    <w:p w14:paraId="5AE2D0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本办法自发文之日起执行，有效期2年。由地区市场监督管理局负责解释。</w:t>
      </w:r>
    </w:p>
    <w:p w14:paraId="549E00B9">
      <w:pPr>
        <w:keepNext w:val="0"/>
        <w:pageBreakBefore w:val="0"/>
        <w:bidi w:val="0"/>
        <w:spacing w:line="440" w:lineRule="exact"/>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br w:type="page"/>
      </w:r>
    </w:p>
    <w:p w14:paraId="23F960C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附表：</w:t>
      </w:r>
    </w:p>
    <w:p w14:paraId="4A9EA75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iCs w:val="0"/>
          <w:caps w:val="0"/>
          <w:color w:val="333333"/>
          <w:spacing w:val="0"/>
          <w:sz w:val="21"/>
          <w:szCs w:val="21"/>
          <w:shd w:val="clear" w:fill="FFFFFF"/>
        </w:rPr>
      </w:pPr>
      <w:r>
        <w:rPr>
          <w:rFonts w:hint="eastAsia" w:ascii="宋体" w:hAnsi="宋体" w:eastAsia="宋体" w:cs="宋体"/>
          <w:b/>
          <w:bCs/>
          <w:i w:val="0"/>
          <w:iCs w:val="0"/>
          <w:caps w:val="0"/>
          <w:color w:val="333333"/>
          <w:spacing w:val="0"/>
          <w:sz w:val="21"/>
          <w:szCs w:val="21"/>
          <w:shd w:val="clear" w:fill="FFFFFF"/>
        </w:rPr>
        <w:t>大兴安岭地区知识产权质押融资评估费用补助申请表</w:t>
      </w:r>
    </w:p>
    <w:tbl>
      <w:tblPr>
        <w:tblStyle w:val="8"/>
        <w:tblpPr w:leftFromText="180" w:rightFromText="180" w:vertAnchor="text" w:horzAnchor="page" w:tblpX="1573" w:tblpY="924"/>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36"/>
        <w:gridCol w:w="1636"/>
        <w:gridCol w:w="1636"/>
        <w:gridCol w:w="1637"/>
        <w:gridCol w:w="1977"/>
      </w:tblGrid>
      <w:tr w14:paraId="1B90BB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16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2E9C4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申报企业</w:t>
            </w:r>
          </w:p>
        </w:tc>
        <w:tc>
          <w:tcPr>
            <w:tcW w:w="3272"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14233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c>
          <w:tcPr>
            <w:tcW w:w="163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FF27B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法定代表人</w:t>
            </w:r>
          </w:p>
        </w:tc>
        <w:tc>
          <w:tcPr>
            <w:tcW w:w="19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38BB3F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133EDF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AB0A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注册地址</w:t>
            </w:r>
          </w:p>
        </w:tc>
        <w:tc>
          <w:tcPr>
            <w:tcW w:w="688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3DE971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3D666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16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C5A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联系人</w:t>
            </w:r>
          </w:p>
        </w:tc>
        <w:tc>
          <w:tcPr>
            <w:tcW w:w="16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3A96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c>
          <w:tcPr>
            <w:tcW w:w="16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47D93C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联系电话</w:t>
            </w:r>
          </w:p>
        </w:tc>
        <w:tc>
          <w:tcPr>
            <w:tcW w:w="3614"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765A58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61340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16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78A696">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i w:val="0"/>
                <w:iCs w:val="0"/>
                <w:caps w:val="0"/>
                <w:color w:val="333333"/>
                <w:spacing w:val="0"/>
                <w:sz w:val="21"/>
                <w:szCs w:val="21"/>
              </w:rPr>
            </w:pPr>
          </w:p>
        </w:tc>
        <w:tc>
          <w:tcPr>
            <w:tcW w:w="16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C810500">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i w:val="0"/>
                <w:iCs w:val="0"/>
                <w:caps w:val="0"/>
                <w:color w:val="333333"/>
                <w:spacing w:val="0"/>
                <w:sz w:val="21"/>
                <w:szCs w:val="21"/>
              </w:rPr>
            </w:pPr>
          </w:p>
        </w:tc>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626E2F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电子邮箱</w:t>
            </w:r>
          </w:p>
        </w:tc>
        <w:tc>
          <w:tcPr>
            <w:tcW w:w="3614"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8FA4D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5579F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163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76F9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企业账户信息</w:t>
            </w:r>
          </w:p>
        </w:tc>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311C62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开户行</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57D208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38593F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16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C0372D">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i w:val="0"/>
                <w:iCs w:val="0"/>
                <w:caps w:val="0"/>
                <w:color w:val="333333"/>
                <w:spacing w:val="0"/>
                <w:sz w:val="21"/>
                <w:szCs w:val="21"/>
              </w:rPr>
            </w:pPr>
          </w:p>
        </w:tc>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909B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单位名称</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653E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540684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63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274F4B">
            <w:pPr>
              <w:keepNext w:val="0"/>
              <w:keepLines w:val="0"/>
              <w:pageBreakBefore w:val="0"/>
              <w:kinsoku/>
              <w:wordWrap/>
              <w:overflowPunct/>
              <w:topLinePunct w:val="0"/>
              <w:autoSpaceDE/>
              <w:autoSpaceDN/>
              <w:bidi w:val="0"/>
              <w:adjustRightInd/>
              <w:snapToGrid/>
              <w:spacing w:line="220" w:lineRule="exact"/>
              <w:jc w:val="both"/>
              <w:textAlignment w:val="auto"/>
              <w:rPr>
                <w:rFonts w:hint="eastAsia" w:ascii="宋体" w:hAnsi="宋体" w:eastAsia="宋体" w:cs="宋体"/>
                <w:i w:val="0"/>
                <w:iCs w:val="0"/>
                <w:caps w:val="0"/>
                <w:color w:val="333333"/>
                <w:spacing w:val="0"/>
                <w:sz w:val="21"/>
                <w:szCs w:val="21"/>
              </w:rPr>
            </w:pPr>
          </w:p>
        </w:tc>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5294F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账号</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1F25B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29AC8E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327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110E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质押的商标权信息</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4C401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（商标名称、注册证书号、有效期）</w:t>
            </w:r>
          </w:p>
        </w:tc>
      </w:tr>
      <w:tr w14:paraId="374E1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trPr>
        <w:tc>
          <w:tcPr>
            <w:tcW w:w="327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24F8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质押的专利权信息</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2F52D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（专利号、类别、申请时间）</w:t>
            </w:r>
          </w:p>
        </w:tc>
      </w:tr>
      <w:tr w14:paraId="491C79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3272"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7FD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评估机构名称</w:t>
            </w:r>
          </w:p>
        </w:tc>
        <w:tc>
          <w:tcPr>
            <w:tcW w:w="5250"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6084F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p>
        </w:tc>
      </w:tr>
      <w:tr w14:paraId="2E192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93" w:hRule="atLeast"/>
        </w:trPr>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7601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both"/>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申报</w:t>
            </w:r>
          </w:p>
          <w:p w14:paraId="114C88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单位</w:t>
            </w:r>
          </w:p>
          <w:p w14:paraId="5CB431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声明</w:t>
            </w:r>
          </w:p>
        </w:tc>
        <w:tc>
          <w:tcPr>
            <w:tcW w:w="688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35E6D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本单位保证所提供的材料真实有效，并承担因虚报材料可能引起的一切法律后果。</w:t>
            </w:r>
          </w:p>
          <w:p w14:paraId="68A60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center"/>
              <w:textAlignment w:val="auto"/>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lang w:val="en-US" w:eastAsia="zh-CN" w:bidi="ar"/>
              </w:rPr>
              <w:t>申报单位：（盖章）</w:t>
            </w:r>
          </w:p>
          <w:p w14:paraId="189B9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center"/>
              <w:textAlignment w:val="auto"/>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lang w:val="en-US" w:eastAsia="zh-CN" w:bidi="ar"/>
              </w:rPr>
              <w:t>法定代表人/负责人</w:t>
            </w:r>
          </w:p>
          <w:p w14:paraId="2A5478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年   月   日</w:t>
            </w:r>
          </w:p>
        </w:tc>
      </w:tr>
      <w:tr w14:paraId="2F87A7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68" w:hRule="atLeast"/>
        </w:trPr>
        <w:tc>
          <w:tcPr>
            <w:tcW w:w="16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977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企业注册登记的市场监管部门审核意见</w:t>
            </w:r>
          </w:p>
        </w:tc>
        <w:tc>
          <w:tcPr>
            <w:tcW w:w="688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E35E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lang w:val="en-US" w:eastAsia="zh-CN" w:bidi="ar"/>
              </w:rPr>
            </w:pPr>
          </w:p>
          <w:p w14:paraId="22C6A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lang w:val="en-US" w:eastAsia="zh-CN" w:bidi="ar"/>
              </w:rPr>
            </w:pPr>
          </w:p>
          <w:p w14:paraId="745D7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right"/>
              <w:textAlignment w:val="auto"/>
              <w:rPr>
                <w:rFonts w:hint="eastAsia" w:ascii="宋体" w:hAnsi="宋体" w:eastAsia="宋体" w:cs="宋体"/>
                <w:i w:val="0"/>
                <w:iCs w:val="0"/>
                <w:caps w:val="0"/>
                <w:color w:val="333333"/>
                <w:spacing w:val="0"/>
                <w:kern w:val="0"/>
                <w:sz w:val="21"/>
                <w:szCs w:val="21"/>
                <w:lang w:val="en-US" w:eastAsia="zh-CN" w:bidi="ar"/>
              </w:rPr>
            </w:pPr>
          </w:p>
          <w:p w14:paraId="4C040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center"/>
              <w:textAlignment w:val="auto"/>
              <w:rPr>
                <w:rFonts w:hint="eastAsia" w:ascii="宋体" w:hAnsi="宋体" w:eastAsia="宋体" w:cs="宋体"/>
                <w:sz w:val="21"/>
                <w:szCs w:val="21"/>
                <w:lang w:val="en-US"/>
              </w:rPr>
            </w:pPr>
            <w:r>
              <w:rPr>
                <w:rFonts w:hint="eastAsia" w:ascii="宋体" w:hAnsi="宋体" w:eastAsia="宋体" w:cs="宋体"/>
                <w:i w:val="0"/>
                <w:iCs w:val="0"/>
                <w:caps w:val="0"/>
                <w:color w:val="333333"/>
                <w:spacing w:val="0"/>
                <w:kern w:val="0"/>
                <w:sz w:val="21"/>
                <w:szCs w:val="21"/>
                <w:lang w:val="en-US" w:eastAsia="zh-CN" w:bidi="ar"/>
              </w:rPr>
              <w:t>单位：（盖章）</w:t>
            </w:r>
          </w:p>
          <w:p w14:paraId="05E72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22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年   月   日</w:t>
            </w:r>
          </w:p>
        </w:tc>
      </w:tr>
    </w:tbl>
    <w:p w14:paraId="3E8BE0F6">
      <w:pPr>
        <w:keepNext w:val="0"/>
        <w:keepLines w:val="0"/>
        <w:pageBreakBefore w:val="0"/>
        <w:kinsoku/>
        <w:wordWrap/>
        <w:overflowPunct/>
        <w:topLinePunct w:val="0"/>
        <w:autoSpaceDE/>
        <w:autoSpaceDN/>
        <w:bidi w:val="0"/>
        <w:adjustRightInd/>
        <w:snapToGrid/>
        <w:spacing w:line="220" w:lineRule="exact"/>
        <w:textAlignment w:val="auto"/>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2ED6B5D"/>
    <w:rsid w:val="28B00ECC"/>
    <w:rsid w:val="296E0005"/>
    <w:rsid w:val="2BF15B26"/>
    <w:rsid w:val="2EA50592"/>
    <w:rsid w:val="33203C6F"/>
    <w:rsid w:val="347E742F"/>
    <w:rsid w:val="3615084C"/>
    <w:rsid w:val="3651623A"/>
    <w:rsid w:val="393206E7"/>
    <w:rsid w:val="398F2FFF"/>
    <w:rsid w:val="448B2102"/>
    <w:rsid w:val="47F15C97"/>
    <w:rsid w:val="4BB46342"/>
    <w:rsid w:val="542A2224"/>
    <w:rsid w:val="56885586"/>
    <w:rsid w:val="5856487D"/>
    <w:rsid w:val="59032417"/>
    <w:rsid w:val="5A114B53"/>
    <w:rsid w:val="5A7A547C"/>
    <w:rsid w:val="5ACA6500"/>
    <w:rsid w:val="5CB815AE"/>
    <w:rsid w:val="5D2972E4"/>
    <w:rsid w:val="5EE31B38"/>
    <w:rsid w:val="5FA55479"/>
    <w:rsid w:val="5FE274DC"/>
    <w:rsid w:val="60407876"/>
    <w:rsid w:val="6AB5321D"/>
    <w:rsid w:val="70180DF6"/>
    <w:rsid w:val="720A7028"/>
    <w:rsid w:val="72D20FEF"/>
    <w:rsid w:val="742E12AB"/>
    <w:rsid w:val="74F26A6B"/>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95286C0E032640BDA6B1E92F2589FDAB_13</vt:lpwstr>
  </property>
  <property fmtid="{D5CDD505-2E9C-101B-9397-08002B2CF9AE}" pid="4" name="KSOTemplateDocerSaveRecord">
    <vt:lpwstr>eyJoZGlkIjoiODA0MGYwZTA3ZjhkZGQ2MDZmM2VkNWJiNGM0NmY1OTkiLCJ1c2VySWQiOiIxMDE3MjYxMTk5In0=</vt:lpwstr>
  </property>
</Properties>
</file>